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jpeg" ContentType="image/jpeg"/>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Arial"/>
          <w:b/>
          <w:b/>
          <w:u w:val="single"/>
        </w:rPr>
      </w:pPr>
      <w:r>
        <w:rPr>
          <w:rFonts w:cs="Arial"/>
          <w:b/>
          <w:sz w:val="20"/>
          <w:u w:val="single"/>
        </w:rPr>
        <w:t>COBERTURA EN PROPIEDAD DE 1 PLAZA DE TÉCNICO DE JUVENTUD, MUJER E IGUALDAD DE LA PLANTILLA DE PERSONAL LABORAL, GRUPO A, SUBGRUPO A2</w:t>
      </w:r>
      <w:r>
        <w:rPr>
          <w:rFonts w:cs="Arial"/>
          <w:b/>
          <w:u w:val="single"/>
        </w:rPr>
        <w:t>.</w:t>
      </w:r>
    </w:p>
    <w:p>
      <w:pPr>
        <w:pStyle w:val="Normal"/>
        <w:jc w:val="both"/>
        <w:rPr>
          <w:rFonts w:cs="Arial"/>
          <w:u w:val="single"/>
        </w:rPr>
      </w:pPr>
      <w:r>
        <w:rPr>
          <w:rFonts w:cs="Arial"/>
          <w:u w:val="single"/>
        </w:rPr>
      </w:r>
    </w:p>
    <w:p>
      <w:pPr>
        <w:pStyle w:val="Normal"/>
        <w:jc w:val="center"/>
        <w:rPr>
          <w:rFonts w:cs="Arial"/>
        </w:rPr>
      </w:pPr>
      <w:r>
        <w:rPr>
          <w:rFonts w:cs="Arial"/>
        </w:rPr>
      </w:r>
    </w:p>
    <w:p>
      <w:pPr>
        <w:pStyle w:val="Normal"/>
        <w:jc w:val="center"/>
        <w:rPr>
          <w:rFonts w:cs="Arial"/>
          <w:b/>
          <w:b/>
        </w:rPr>
      </w:pPr>
      <w:r>
        <w:rPr>
          <w:rFonts w:cs="Arial"/>
          <w:b/>
        </w:rPr>
        <w:t>INSTRUCCIONES</w:t>
      </w:r>
    </w:p>
    <w:p>
      <w:pPr>
        <w:pStyle w:val="Normal"/>
        <w:jc w:val="center"/>
        <w:rPr>
          <w:rFonts w:cs="Arial"/>
        </w:rPr>
      </w:pPr>
      <w:r>
        <w:rPr>
          <w:rFonts w:cs="Arial"/>
        </w:rPr>
      </w:r>
    </w:p>
    <w:p>
      <w:pPr>
        <w:pStyle w:val="ListParagraph"/>
        <w:numPr>
          <w:ilvl w:val="0"/>
          <w:numId w:val="23"/>
        </w:numPr>
        <w:spacing w:lineRule="auto" w:line="240" w:before="0" w:after="0"/>
        <w:contextualSpacing/>
        <w:jc w:val="both"/>
        <w:rPr>
          <w:rFonts w:ascii="Arial" w:hAnsi="Arial" w:cs="Arial"/>
        </w:rPr>
      </w:pPr>
      <w:r>
        <w:rPr>
          <w:rFonts w:cs="Arial" w:ascii="Arial" w:hAnsi="Arial"/>
        </w:rPr>
        <w:t xml:space="preserve"> </w:t>
      </w:r>
      <w:r>
        <w:rPr>
          <w:rFonts w:cs="Arial" w:ascii="Arial" w:hAnsi="Arial"/>
        </w:rPr>
        <w:t>Sólo se podrá utilizar bolígrafo azul.</w:t>
      </w:r>
    </w:p>
    <w:p>
      <w:pPr>
        <w:pStyle w:val="Normal"/>
        <w:jc w:val="both"/>
        <w:rPr>
          <w:rFonts w:cs="Arial"/>
        </w:rPr>
      </w:pPr>
      <w:r>
        <w:rPr>
          <w:rFonts w:cs="Arial"/>
        </w:rPr>
      </w:r>
    </w:p>
    <w:p>
      <w:pPr>
        <w:pStyle w:val="ListParagraph"/>
        <w:numPr>
          <w:ilvl w:val="0"/>
          <w:numId w:val="23"/>
        </w:numPr>
        <w:spacing w:lineRule="auto" w:line="240" w:before="0" w:after="0"/>
        <w:contextualSpacing/>
        <w:jc w:val="both"/>
        <w:rPr>
          <w:rFonts w:ascii="Arial" w:hAnsi="Arial" w:cs="Arial"/>
        </w:rPr>
      </w:pPr>
      <w:r>
        <w:rPr>
          <w:rFonts w:cs="Arial" w:ascii="Arial" w:hAnsi="Arial"/>
        </w:rPr>
        <w:t>Tiempo máximo 1 hora.</w:t>
      </w:r>
    </w:p>
    <w:p>
      <w:pPr>
        <w:pStyle w:val="Normal"/>
        <w:jc w:val="both"/>
        <w:rPr>
          <w:rFonts w:cs="Arial"/>
        </w:rPr>
      </w:pPr>
      <w:r>
        <w:rPr>
          <w:rFonts w:cs="Arial"/>
        </w:rPr>
      </w:r>
    </w:p>
    <w:p>
      <w:pPr>
        <w:pStyle w:val="ListParagraph"/>
        <w:numPr>
          <w:ilvl w:val="0"/>
          <w:numId w:val="23"/>
        </w:numPr>
        <w:spacing w:lineRule="auto" w:line="240" w:before="0" w:after="0"/>
        <w:contextualSpacing/>
        <w:jc w:val="both"/>
        <w:rPr>
          <w:rFonts w:ascii="Arial" w:hAnsi="Arial" w:cs="Arial"/>
        </w:rPr>
      </w:pPr>
      <w:r>
        <w:rPr>
          <w:rFonts w:cs="Arial" w:ascii="Arial" w:hAnsi="Arial"/>
        </w:rPr>
        <w:t xml:space="preserve"> </w:t>
      </w:r>
      <w:r>
        <w:rPr>
          <w:rFonts w:cs="Arial" w:ascii="Arial" w:hAnsi="Arial"/>
        </w:rPr>
        <w:t xml:space="preserve">Cada respuesta acertada supondrá 0’25. Las respuestas erróneas y en blanco no restarán ni sumarán punto alguno. </w:t>
      </w:r>
    </w:p>
    <w:p>
      <w:pPr>
        <w:pStyle w:val="ListParagraph"/>
        <w:rPr>
          <w:rFonts w:ascii="Arial" w:hAnsi="Arial" w:cs="Arial"/>
        </w:rPr>
      </w:pPr>
      <w:r>
        <w:rPr>
          <w:rFonts w:cs="Arial" w:ascii="Arial" w:hAnsi="Arial"/>
        </w:rPr>
      </w:r>
    </w:p>
    <w:p>
      <w:pPr>
        <w:pStyle w:val="ListParagraph"/>
        <w:numPr>
          <w:ilvl w:val="0"/>
          <w:numId w:val="23"/>
        </w:numPr>
        <w:spacing w:lineRule="auto" w:line="240" w:before="0" w:after="0"/>
        <w:contextualSpacing/>
        <w:jc w:val="both"/>
        <w:rPr>
          <w:rFonts w:ascii="Arial" w:hAnsi="Arial" w:cs="Arial"/>
        </w:rPr>
      </w:pPr>
      <w:r>
        <w:rPr>
          <w:rFonts w:cs="Arial" w:ascii="Arial" w:hAnsi="Arial"/>
        </w:rPr>
        <w:t>Consistirá en un cuestionario de 40 preguntas más 5 preguntas adicionales, con cuatro respuestas alternativas, de las cuales sólo una será la correcta.</w:t>
      </w:r>
    </w:p>
    <w:p>
      <w:pPr>
        <w:pStyle w:val="Normal"/>
        <w:jc w:val="both"/>
        <w:rPr>
          <w:rFonts w:cs="Arial"/>
        </w:rPr>
      </w:pPr>
      <w:r>
        <w:rPr>
          <w:rFonts w:cs="Arial"/>
        </w:rPr>
      </w:r>
    </w:p>
    <w:p>
      <w:pPr>
        <w:pStyle w:val="Normal"/>
        <w:jc w:val="both"/>
        <w:rPr/>
      </w:pPr>
      <w:r>
        <w:rPr/>
      </w:r>
    </w:p>
    <w:p>
      <w:pPr>
        <w:pStyle w:val="Normal"/>
        <w:jc w:val="both"/>
        <w:rPr/>
      </w:pPr>
      <w:r>
        <w:rPr/>
        <mc:AlternateContent>
          <mc:Choice Requires="wps">
            <w:drawing>
              <wp:anchor behindDoc="0" distT="0" distB="0" distL="114300" distR="114300" simplePos="0" locked="0" layoutInCell="1" allowOverlap="1" relativeHeight="15">
                <wp:simplePos x="0" y="0"/>
                <wp:positionH relativeFrom="page">
                  <wp:posOffset>71755</wp:posOffset>
                </wp:positionH>
                <wp:positionV relativeFrom="page">
                  <wp:posOffset>3564255</wp:posOffset>
                </wp:positionV>
                <wp:extent cx="127000" cy="1270"/>
                <wp:effectExtent l="0" t="0" r="0" b="0"/>
                <wp:wrapNone/>
                <wp:docPr id="1" name=""/>
                <a:graphic xmlns:a="http://schemas.openxmlformats.org/drawingml/2006/main">
                  <a:graphicData uri="http://schemas.microsoft.com/office/word/2010/wordprocessingShape">
                    <wps:wsp>
                      <wps:cNvSpPr/>
                      <wps:spPr>
                        <a:xfrm>
                          <a:off x="0" y="0"/>
                          <a:ext cx="179640" cy="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5.65pt,280.65pt" to="19.75pt,280.65pt" stroked="t" style="position:absolute;mso-position-horizontal-relative:page;mso-position-vertical-relative:page">
                <v:stroke color="black" joinstyle="round" endcap="flat"/>
                <v:fill o:detectmouseclick="t" on="false"/>
              </v:line>
            </w:pict>
          </mc:Fallback>
        </mc:AlternateContent>
        <mc:AlternateContent>
          <mc:Choice Requires="wps">
            <w:drawing>
              <wp:anchor behindDoc="0" distT="0" distB="0" distL="114300" distR="114300" simplePos="0" locked="0" layoutInCell="1" allowOverlap="1" relativeHeight="16">
                <wp:simplePos x="0" y="0"/>
                <wp:positionH relativeFrom="page">
                  <wp:posOffset>71755</wp:posOffset>
                </wp:positionH>
                <wp:positionV relativeFrom="page">
                  <wp:posOffset>7129145</wp:posOffset>
                </wp:positionV>
                <wp:extent cx="127000" cy="1905"/>
                <wp:effectExtent l="0" t="0" r="0" b="0"/>
                <wp:wrapNone/>
                <wp:docPr id="2" name=""/>
                <a:graphic xmlns:a="http://schemas.openxmlformats.org/drawingml/2006/main">
                  <a:graphicData uri="http://schemas.microsoft.com/office/word/2010/wordprocessingShape">
                    <wps:wsp>
                      <wps:cNvSpPr/>
                      <wps:spPr>
                        <a:xfrm>
                          <a:off x="0" y="0"/>
                          <a:ext cx="179640" cy="72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5.65pt,561.35pt" to="19.75pt,561.35pt" stroked="t" style="position:absolute;mso-position-horizontal-relative:page;mso-position-vertical-relative:page">
                <v:stroke color="black" joinstyle="round" endcap="flat"/>
                <v:fill o:detectmouseclick="t" on="false"/>
              </v:line>
            </w:pict>
          </mc:Fallback>
        </mc:AlternateContent>
      </w:r>
      <w:r>
        <w:br w:type="page"/>
      </w:r>
    </w:p>
    <w:p>
      <w:pPr>
        <w:pStyle w:val="ListParagraph"/>
        <w:numPr>
          <w:ilvl w:val="0"/>
          <w:numId w:val="24"/>
        </w:numPr>
        <w:spacing w:lineRule="auto" w:line="240" w:before="0" w:after="0"/>
        <w:contextualSpacing/>
        <w:jc w:val="both"/>
        <w:rPr>
          <w:rFonts w:ascii="Arial" w:hAnsi="Arial" w:eastAsia="Calibri" w:cs="Arial"/>
        </w:rPr>
      </w:pPr>
      <w:r>
        <w:rPr>
          <w:rFonts w:eastAsia="Calibri" w:cs="Arial" w:ascii="Arial" w:hAnsi="Arial"/>
        </w:rPr>
        <w:t>Según la Ley 39/2015, de 1 de octubre, del Procedimiento Administrativo Común de las Administraciones Públicas, si los plazos se señalan por días.</w:t>
      </w:r>
    </w:p>
    <w:p>
      <w:pPr>
        <w:pStyle w:val="ListParagraph"/>
        <w:spacing w:lineRule="auto" w:line="240" w:before="0" w:after="0"/>
        <w:contextualSpacing/>
        <w:jc w:val="both"/>
        <w:rPr>
          <w:rFonts w:ascii="Arial" w:hAnsi="Arial" w:eastAsia="Calibri" w:cs="Arial"/>
        </w:rPr>
      </w:pPr>
      <w:r>
        <w:rPr>
          <w:rFonts w:eastAsia="Calibri" w:cs="Arial" w:ascii="Arial" w:hAnsi="Arial"/>
        </w:rPr>
      </w:r>
    </w:p>
    <w:p>
      <w:pPr>
        <w:pStyle w:val="ListParagraph"/>
        <w:numPr>
          <w:ilvl w:val="0"/>
          <w:numId w:val="10"/>
        </w:numPr>
        <w:jc w:val="both"/>
        <w:rPr>
          <w:rFonts w:ascii="Arial" w:hAnsi="Arial" w:eastAsia="Calibri" w:cs="Arial"/>
        </w:rPr>
      </w:pPr>
      <w:r>
        <w:rPr>
          <w:rFonts w:eastAsia="Calibri" w:cs="Arial" w:ascii="Arial" w:hAnsi="Arial"/>
        </w:rPr>
        <w:t>Siempre que por Ley o en el Derecho de la Unión Europea no se exprese otro cómputo, cuando los plazos se señalen por días, se entiende que éstos son hábiles, excluyéndose del cómputo, los domingos y los declarados festivos.</w:t>
      </w:r>
    </w:p>
    <w:p>
      <w:pPr>
        <w:pStyle w:val="ListParagraph"/>
        <w:numPr>
          <w:ilvl w:val="0"/>
          <w:numId w:val="10"/>
        </w:numPr>
        <w:jc w:val="both"/>
        <w:rPr>
          <w:rFonts w:ascii="Arial" w:hAnsi="Arial" w:eastAsia="Calibri" w:cs="Arial"/>
        </w:rPr>
      </w:pPr>
      <w:r>
        <w:rPr>
          <w:rFonts w:eastAsia="Calibri" w:cs="Arial" w:ascii="Arial" w:hAnsi="Arial"/>
        </w:rPr>
        <w:t>Cuando los plazos se hayan señalado por días naturales por declararlo así una ley o por el Derecho de la Unión Europea, el plazo no podrá ser inferior a 15 días.</w:t>
      </w:r>
    </w:p>
    <w:p>
      <w:pPr>
        <w:pStyle w:val="ListParagraph"/>
        <w:numPr>
          <w:ilvl w:val="0"/>
          <w:numId w:val="10"/>
        </w:numPr>
        <w:jc w:val="both"/>
        <w:rPr>
          <w:rFonts w:ascii="Arial" w:hAnsi="Arial" w:eastAsia="Calibri" w:cs="Arial"/>
        </w:rPr>
      </w:pPr>
      <w:r>
        <w:rPr>
          <w:rFonts w:eastAsia="Calibri" w:cs="Arial" w:ascii="Arial" w:hAnsi="Arial"/>
        </w:rPr>
        <w:t>Cuando un día fuese inhábil en el municipio o Comunidad Autónoma en que residiese el interesado, e hábil en la sede del órgano administrativo, se considerará hábil en todo caso.</w:t>
      </w:r>
    </w:p>
    <w:p>
      <w:pPr>
        <w:pStyle w:val="ListParagraph"/>
        <w:numPr>
          <w:ilvl w:val="0"/>
          <w:numId w:val="10"/>
        </w:numPr>
        <w:jc w:val="both"/>
        <w:rPr>
          <w:b/>
          <w:b/>
          <w:bCs/>
        </w:rPr>
      </w:pPr>
      <w:r>
        <w:rPr>
          <w:rFonts w:eastAsia="Calibri" w:cs="Arial" w:ascii="Arial" w:hAnsi="Arial"/>
          <w:b/>
          <w:bCs/>
          <w:u w:val="single"/>
        </w:rPr>
        <w:t>La declaración de un día como hábil o inhábil a efectos de cómputo de plazos no determina por sí sola el funcionamiento de los centros de trabajo de las Administraciones Públicas, la organización del tiempo de trabajo o el régimen de jornada y horarios de las mismas.</w:t>
      </w:r>
    </w:p>
    <w:p>
      <w:pPr>
        <w:pStyle w:val="Normal"/>
        <w:rPr>
          <w:rFonts w:cs="Arial"/>
        </w:rPr>
      </w:pPr>
      <w:r>
        <w:rPr>
          <w:rFonts w:cs="Arial"/>
        </w:rPr>
      </w:r>
    </w:p>
    <w:p>
      <w:pPr>
        <w:pStyle w:val="Normal"/>
        <w:jc w:val="both"/>
        <w:rPr>
          <w:rFonts w:eastAsia="Calibri" w:cs="Arial"/>
        </w:rPr>
      </w:pPr>
      <w:r>
        <w:rPr>
          <w:rFonts w:eastAsia="Calibri" w:cs="Arial"/>
        </w:rPr>
        <w:t>2. Las normas relativas a los derechos fundamentales y a las libertades que la Constitución reconoce no se interpretarán de conformidad con:</w:t>
      </w:r>
    </w:p>
    <w:p>
      <w:pPr>
        <w:pStyle w:val="Normal"/>
        <w:spacing w:before="0" w:after="0"/>
        <w:ind w:left="357" w:hanging="0"/>
        <w:contextualSpacing/>
        <w:jc w:val="both"/>
        <w:rPr>
          <w:rFonts w:eastAsia="Calibri" w:cs="Arial"/>
        </w:rPr>
      </w:pPr>
      <w:r>
        <w:rPr>
          <w:rFonts w:eastAsia="Calibri" w:cs="Arial"/>
        </w:rPr>
        <w:t>a)</w:t>
        <w:tab/>
        <w:t>La Declaración Universal de Derechos Humanos.</w:t>
      </w:r>
    </w:p>
    <w:p>
      <w:pPr>
        <w:pStyle w:val="Normal"/>
        <w:spacing w:before="0" w:after="0"/>
        <w:ind w:left="357" w:hanging="0"/>
        <w:contextualSpacing/>
        <w:jc w:val="both"/>
        <w:rPr>
          <w:rFonts w:eastAsia="Calibri" w:cs="Arial"/>
        </w:rPr>
      </w:pPr>
      <w:r>
        <w:rPr>
          <w:rFonts w:eastAsia="Calibri" w:cs="Arial"/>
        </w:rPr>
        <w:t>b)</w:t>
        <w:tab/>
        <w:t>Los tratados internacionales sobre las mismas materias ratificados por España.</w:t>
      </w:r>
    </w:p>
    <w:p>
      <w:pPr>
        <w:pStyle w:val="Normal"/>
        <w:spacing w:before="0" w:after="0"/>
        <w:ind w:left="357" w:hanging="0"/>
        <w:contextualSpacing/>
        <w:jc w:val="both"/>
        <w:rPr>
          <w:rFonts w:eastAsia="Calibri" w:cs="Arial"/>
        </w:rPr>
      </w:pPr>
      <w:r>
        <w:rPr>
          <w:rFonts w:eastAsia="Calibri" w:cs="Arial"/>
        </w:rPr>
        <w:t>c)</w:t>
        <w:tab/>
        <w:t>Los acuerdos internacionales sobre las mismas materias ratificados por España.</w:t>
      </w:r>
    </w:p>
    <w:p>
      <w:pPr>
        <w:pStyle w:val="Normal"/>
        <w:spacing w:before="0" w:after="0"/>
        <w:ind w:left="357" w:hanging="0"/>
        <w:contextualSpacing/>
        <w:jc w:val="both"/>
        <w:rPr>
          <w:rFonts w:eastAsia="Calibri" w:cs="Arial"/>
        </w:rPr>
      </w:pPr>
      <w:r>
        <w:rPr>
          <w:rFonts w:eastAsia="Calibri" w:cs="Arial"/>
        </w:rPr>
        <w:t>d)</w:t>
        <w:tab/>
      </w:r>
      <w:r>
        <w:rPr>
          <w:rFonts w:eastAsia="Calibri" w:cs="Arial"/>
          <w:b/>
          <w:bCs/>
          <w:u w:val="single"/>
        </w:rPr>
        <w:t>Se interpretarán de acuerdo con todos los instrumentos citados.</w:t>
      </w:r>
    </w:p>
    <w:p>
      <w:pPr>
        <w:pStyle w:val="Normal"/>
        <w:rPr>
          <w:rFonts w:cs="Arial"/>
        </w:rPr>
      </w:pPr>
      <w:r>
        <w:rPr>
          <w:rFonts w:cs="Arial"/>
        </w:rPr>
      </w:r>
    </w:p>
    <w:p>
      <w:pPr>
        <w:pStyle w:val="Normal"/>
        <w:rPr>
          <w:rFonts w:cs="Arial"/>
        </w:rPr>
      </w:pPr>
      <w:r>
        <w:rPr>
          <w:rFonts w:cs="Arial"/>
        </w:rPr>
      </w:r>
    </w:p>
    <w:p>
      <w:pPr>
        <w:pStyle w:val="ListParagraph"/>
        <w:numPr>
          <w:ilvl w:val="0"/>
          <w:numId w:val="25"/>
        </w:numPr>
        <w:jc w:val="both"/>
        <w:rPr>
          <w:rFonts w:ascii="Arial" w:hAnsi="Arial" w:eastAsia="Calibri" w:cs="Arial"/>
        </w:rPr>
      </w:pPr>
      <w:r>
        <w:rPr>
          <w:rFonts w:eastAsia="Calibri" w:cs="Arial" w:ascii="Arial" w:hAnsi="Arial"/>
        </w:rPr>
        <w:t>Según lo dispuesto en el artículo 26 de la ley 39/2015, de 1 de octubre de Procedimiento Administrativo Común de las Administraciones Públicas, señale qué respuesta es correcta:</w:t>
      </w:r>
    </w:p>
    <w:p>
      <w:pPr>
        <w:pStyle w:val="ListParagraph"/>
        <w:numPr>
          <w:ilvl w:val="0"/>
          <w:numId w:val="11"/>
        </w:numPr>
        <w:jc w:val="both"/>
        <w:rPr>
          <w:b/>
          <w:b/>
          <w:bCs/>
        </w:rPr>
      </w:pPr>
      <w:r>
        <w:rPr>
          <w:rFonts w:eastAsia="Calibri" w:cs="Arial" w:ascii="Arial" w:hAnsi="Arial"/>
          <w:b/>
          <w:bCs/>
          <w:u w:val="single"/>
        </w:rPr>
        <w:t>No requerirán de firma electrónica, los documentos electrónicos emitidos por las Administraciones Públicas que se publiquen con carácter meramente informativo.</w:t>
      </w:r>
    </w:p>
    <w:p>
      <w:pPr>
        <w:pStyle w:val="ListParagraph"/>
        <w:numPr>
          <w:ilvl w:val="0"/>
          <w:numId w:val="11"/>
        </w:numPr>
        <w:jc w:val="both"/>
        <w:rPr>
          <w:rFonts w:ascii="Arial" w:hAnsi="Arial" w:eastAsia="Calibri" w:cs="Arial"/>
        </w:rPr>
      </w:pPr>
      <w:r>
        <w:rPr>
          <w:rFonts w:eastAsia="Calibri" w:cs="Arial" w:ascii="Arial" w:hAnsi="Arial"/>
        </w:rPr>
        <w:t>No requerirán de firma electrónica, los documentos que no formen parte de un expediente administrativo, ni será necesario identificar el origen de estos documentos.</w:t>
      </w:r>
    </w:p>
    <w:p>
      <w:pPr>
        <w:pStyle w:val="ListParagraph"/>
        <w:numPr>
          <w:ilvl w:val="0"/>
          <w:numId w:val="11"/>
        </w:numPr>
        <w:jc w:val="both"/>
        <w:rPr>
          <w:rFonts w:ascii="Arial" w:hAnsi="Arial" w:eastAsia="Calibri" w:cs="Arial"/>
        </w:rPr>
      </w:pPr>
      <w:r>
        <w:rPr>
          <w:rFonts w:eastAsia="Calibri" w:cs="Arial" w:ascii="Arial" w:hAnsi="Arial"/>
        </w:rPr>
        <w:t>Requerirán de firma electrónica, los documentos que no formen parte de un expediente administrativo.</w:t>
      </w:r>
    </w:p>
    <w:p>
      <w:pPr>
        <w:pStyle w:val="ListParagraph"/>
        <w:numPr>
          <w:ilvl w:val="0"/>
          <w:numId w:val="11"/>
        </w:numPr>
        <w:jc w:val="both"/>
        <w:rPr>
          <w:rFonts w:ascii="Arial" w:hAnsi="Arial" w:eastAsia="Calibri" w:cs="Arial"/>
        </w:rPr>
      </w:pPr>
      <w:r>
        <w:rPr>
          <w:rFonts w:eastAsia="Calibri" w:cs="Arial" w:ascii="Arial" w:hAnsi="Arial"/>
        </w:rPr>
        <w:t>Todos los documentos electrónicos emitidos por las Administraciones públicas requieren de firma electrónica, aunque no formen parte de un expediente administrativo.</w:t>
      </w:r>
    </w:p>
    <w:p>
      <w:pPr>
        <w:pStyle w:val="ListParagraph"/>
        <w:jc w:val="both"/>
        <w:rPr>
          <w:rFonts w:ascii="Arial" w:hAnsi="Arial" w:eastAsia="Calibri" w:cs="Arial"/>
        </w:rPr>
      </w:pPr>
      <w:r>
        <w:rPr>
          <w:rFonts w:eastAsia="Calibri" w:cs="Arial" w:ascii="Arial" w:hAnsi="Arial"/>
        </w:rPr>
      </w:r>
    </w:p>
    <w:p>
      <w:pPr>
        <w:pStyle w:val="ListParagraph"/>
        <w:numPr>
          <w:ilvl w:val="0"/>
          <w:numId w:val="25"/>
        </w:numPr>
        <w:jc w:val="both"/>
        <w:rPr>
          <w:rFonts w:ascii="Arial" w:hAnsi="Arial" w:eastAsia="Calibri" w:cs="Arial"/>
          <w:bCs/>
        </w:rPr>
      </w:pPr>
      <w:r>
        <w:rPr>
          <w:rFonts w:eastAsia="Calibri" w:cs="Arial" w:ascii="Arial" w:hAnsi="Arial"/>
          <w:bCs/>
        </w:rPr>
        <w:t>El presupuesto general de un ente local contendrá:</w:t>
      </w:r>
    </w:p>
    <w:p>
      <w:pPr>
        <w:pStyle w:val="ListParagraph"/>
        <w:numPr>
          <w:ilvl w:val="0"/>
          <w:numId w:val="12"/>
        </w:numPr>
        <w:jc w:val="both"/>
        <w:rPr>
          <w:rFonts w:ascii="Arial" w:hAnsi="Arial" w:eastAsia="Calibri" w:cs="Arial"/>
        </w:rPr>
      </w:pPr>
      <w:r>
        <w:rPr>
          <w:rFonts w:eastAsia="Calibri" w:cs="Arial" w:ascii="Arial" w:hAnsi="Arial"/>
        </w:rPr>
        <w:t>Los estados de ingresos y gastos.</w:t>
      </w:r>
    </w:p>
    <w:p>
      <w:pPr>
        <w:pStyle w:val="ListParagraph"/>
        <w:numPr>
          <w:ilvl w:val="0"/>
          <w:numId w:val="12"/>
        </w:numPr>
        <w:jc w:val="both"/>
        <w:rPr>
          <w:rFonts w:ascii="Arial" w:hAnsi="Arial" w:eastAsia="Calibri" w:cs="Arial"/>
        </w:rPr>
      </w:pPr>
      <w:r>
        <w:rPr>
          <w:rFonts w:eastAsia="Calibri" w:cs="Arial" w:ascii="Arial" w:hAnsi="Arial"/>
        </w:rPr>
        <w:t>Los estados de ingresos y gastos y las ordenanzas fiscales.</w:t>
      </w:r>
    </w:p>
    <w:p>
      <w:pPr>
        <w:pStyle w:val="ListParagraph"/>
        <w:numPr>
          <w:ilvl w:val="0"/>
          <w:numId w:val="12"/>
        </w:numPr>
        <w:jc w:val="both"/>
        <w:rPr>
          <w:b/>
          <w:b/>
          <w:bCs/>
        </w:rPr>
      </w:pPr>
      <w:r>
        <w:rPr>
          <w:rFonts w:eastAsia="Calibri" w:cs="Arial" w:ascii="Arial" w:hAnsi="Arial"/>
          <w:b/>
          <w:bCs/>
          <w:u w:val="single"/>
        </w:rPr>
        <w:t>Los estados de ingresos y gastos y las bases de ejecución.</w:t>
      </w:r>
    </w:p>
    <w:p>
      <w:pPr>
        <w:pStyle w:val="ListParagraph"/>
        <w:numPr>
          <w:ilvl w:val="0"/>
          <w:numId w:val="12"/>
        </w:numPr>
        <w:jc w:val="both"/>
        <w:rPr>
          <w:rFonts w:ascii="Arial" w:hAnsi="Arial" w:cs="Arial"/>
        </w:rPr>
      </w:pPr>
      <w:r>
        <w:rPr>
          <w:rFonts w:eastAsia="Calibri" w:cs="Arial" w:ascii="Arial" w:hAnsi="Arial"/>
        </w:rPr>
        <w:t>Los estados de ingresos y gastos, las bases de ejecución y las ordenanzas fiscales.</w:t>
      </w:r>
    </w:p>
    <w:p>
      <w:pPr>
        <w:pStyle w:val="ListParagraph"/>
        <w:jc w:val="both"/>
        <w:rPr>
          <w:rFonts w:ascii="Arial" w:hAnsi="Arial" w:cs="Arial"/>
        </w:rPr>
      </w:pPr>
      <w:r>
        <w:rPr>
          <w:rFonts w:cs="Arial" w:ascii="Arial" w:hAnsi="Arial"/>
        </w:rPr>
      </w:r>
    </w:p>
    <w:p>
      <w:pPr>
        <w:pStyle w:val="ListParagraph"/>
        <w:numPr>
          <w:ilvl w:val="0"/>
          <w:numId w:val="25"/>
        </w:numPr>
        <w:jc w:val="both"/>
        <w:rPr>
          <w:rFonts w:ascii="Arial" w:hAnsi="Arial" w:cs="Arial"/>
        </w:rPr>
      </w:pPr>
      <w:r>
        <w:rPr>
          <w:rFonts w:cs="Arial" w:ascii="Arial" w:hAnsi="Arial"/>
        </w:rPr>
        <w:t>La alteración de los términos municipales, según la</w:t>
      </w:r>
      <w:r>
        <w:rPr>
          <w:rFonts w:eastAsia="Times New Roman" w:cs="Arial" w:ascii="Arial" w:hAnsi="Arial"/>
          <w:color w:val="000000"/>
          <w:lang w:eastAsia="es-ES"/>
        </w:rPr>
        <w:t xml:space="preserve"> </w:t>
      </w:r>
      <w:r>
        <w:rPr>
          <w:rFonts w:cs="Arial" w:ascii="Arial" w:hAnsi="Arial"/>
        </w:rPr>
        <w:t xml:space="preserve">Ley 7/1985, de 2 de abril, Reguladora de las Bases del Régimen Local: </w:t>
      </w:r>
    </w:p>
    <w:p>
      <w:pPr>
        <w:pStyle w:val="ListParagraph"/>
        <w:jc w:val="both"/>
        <w:rPr>
          <w:rFonts w:ascii="Arial" w:hAnsi="Arial" w:cs="Arial"/>
        </w:rPr>
      </w:pPr>
      <w:r>
        <w:rPr>
          <w:rFonts w:cs="Arial" w:ascii="Arial" w:hAnsi="Arial"/>
        </w:rPr>
        <w:t>a)  Requerirán en todo caso audiencia de los municipios interesados y dictamen del Consejo de Estado, así como informe de la Administración que ejerza la tutela financiera. Simultáneamente a la petición de este dictamen se dará conocimiento al Órgano consultivo superior de las Comunidades Autónomas.</w:t>
      </w:r>
    </w:p>
    <w:p>
      <w:pPr>
        <w:pStyle w:val="ListParagraph"/>
        <w:jc w:val="both"/>
        <w:rPr>
          <w:rFonts w:ascii="Arial" w:hAnsi="Arial" w:cs="Arial"/>
          <w:color w:val="000000"/>
          <w:highlight w:val="white"/>
        </w:rPr>
      </w:pPr>
      <w:r>
        <w:rPr>
          <w:rFonts w:cs="Arial" w:ascii="Arial" w:hAnsi="Arial"/>
        </w:rPr>
        <w:t>b)</w:t>
      </w:r>
      <w:r>
        <w:rPr>
          <w:rFonts w:cs="Arial" w:ascii="Arial" w:hAnsi="Arial"/>
          <w:shd w:fill="FFFFFF" w:val="clear"/>
        </w:rPr>
        <w:t xml:space="preserve"> La fusión conllevará la integración de los territorios, poblaciones y organizaciones de los municipios, incluyendo los medios personales, materiales y económicos, del municipio fusionado. A estos efectos, el Órgano Consultivo superior de las Comunidades Autónomas aprobarán las medidas de redimensionamiento para la adecuación de las estructuras organizativas, inmobiliarias, de personal y de recursos </w:t>
      </w:r>
      <w:r>
        <w:rPr>
          <w:rFonts w:cs="Arial" w:ascii="Arial" w:hAnsi="Arial"/>
          <w:color w:val="000000"/>
          <w:shd w:fill="FFFFFF" w:val="clear"/>
        </w:rPr>
        <w:t xml:space="preserve">resultantes de su nueva situación. </w:t>
      </w:r>
    </w:p>
    <w:p>
      <w:pPr>
        <w:pStyle w:val="ListParagraph"/>
        <w:jc w:val="both"/>
        <w:rPr>
          <w:rFonts w:ascii="Arial" w:hAnsi="Arial" w:cs="Arial"/>
          <w:b/>
          <w:b/>
          <w:bCs/>
        </w:rPr>
      </w:pPr>
      <w:r>
        <w:rPr>
          <w:rFonts w:cs="Arial" w:ascii="Arial" w:hAnsi="Arial"/>
          <w:b/>
          <w:bCs/>
        </w:rPr>
        <w:t xml:space="preserve">c) </w:t>
      </w:r>
      <w:r>
        <w:rPr>
          <w:rFonts w:cs="Arial" w:ascii="Arial" w:hAnsi="Arial"/>
          <w:b/>
          <w:bCs/>
          <w:u w:val="single"/>
        </w:rPr>
        <w:t>Al municipio resultante de esta fusión le será de aplicación lo siguiente: Se sumarán los importes de las compensaciones que, por separado, corresponden a los municipios que se fusionen y que se derivan de la reforma del Impuesto sobre Actividades Económicas de la disposición adicional décima de la Ley 51/2002, de 27 de diciembre, de Reforma de la Ley 39/1988, de 28 de diciembre, Reguladora de las Haciendas Locales, actualizadas en los mismos términos que los ingresos tributarios del Estado en cada ejercicio respecto a 2004, así como la compensación adicional, regulada en la disposición adicional segunda de la Ley 22/2005, de 18 de noviembre, actualizada en los mismos términos que los ingresos tributarios del Estado en cada ejercicio respecto a 2006.</w:t>
      </w:r>
    </w:p>
    <w:p>
      <w:pPr>
        <w:pStyle w:val="ListParagraph"/>
        <w:jc w:val="both"/>
        <w:rPr>
          <w:rFonts w:ascii="Arial" w:hAnsi="Arial" w:cs="Arial"/>
        </w:rPr>
      </w:pPr>
      <w:r>
        <w:rPr>
          <w:rFonts w:cs="Arial" w:ascii="Arial" w:hAnsi="Arial"/>
        </w:rPr>
        <w:t>d) Si uno de los municipios fusionados estuviera en situación de déficit se podrán integrar, por acuerdo de los municipios fusionados, las obligaciones, bienes y derechos patrimoniales que se consideren liquidables en un fondo, con personalidad jurídica y con contabilidad separada, adscrito al nuevo municipio, que designará un liquidador al que le corresponderá la liquidación de este fondo.</w:t>
      </w:r>
    </w:p>
    <w:p>
      <w:pPr>
        <w:pStyle w:val="ListParagraph"/>
        <w:jc w:val="both"/>
        <w:rPr>
          <w:rFonts w:ascii="Arial" w:hAnsi="Arial" w:cs="Arial"/>
        </w:rPr>
      </w:pPr>
      <w:r>
        <w:rPr>
          <w:rFonts w:cs="Arial" w:ascii="Arial" w:hAnsi="Arial"/>
        </w:rPr>
      </w:r>
    </w:p>
    <w:p>
      <w:pPr>
        <w:pStyle w:val="ListParagraph"/>
        <w:numPr>
          <w:ilvl w:val="0"/>
          <w:numId w:val="25"/>
        </w:numPr>
        <w:rPr>
          <w:rFonts w:ascii="Arial" w:hAnsi="Arial" w:cs="Arial"/>
        </w:rPr>
      </w:pPr>
      <w:r>
        <w:rPr>
          <w:rFonts w:cs="Arial" w:ascii="Arial" w:hAnsi="Arial"/>
        </w:rPr>
        <w:t>El Estatuto de autonomía de la Comunitat Valenciana dispone, en el art. 49.1.25, que:</w:t>
      </w:r>
    </w:p>
    <w:p>
      <w:pPr>
        <w:pStyle w:val="ListParagraph"/>
        <w:numPr>
          <w:ilvl w:val="0"/>
          <w:numId w:val="13"/>
        </w:numPr>
        <w:rPr>
          <w:rFonts w:ascii="Arial" w:hAnsi="Arial" w:cs="Arial"/>
        </w:rPr>
      </w:pPr>
      <w:r>
        <w:rPr>
          <w:rFonts w:cs="Arial" w:ascii="Arial" w:hAnsi="Arial"/>
        </w:rPr>
        <w:t>Correponde a los Ayuntamientos la competencia exclusiva en materia de juventud</w:t>
      </w:r>
    </w:p>
    <w:p>
      <w:pPr>
        <w:pStyle w:val="ListParagraph"/>
        <w:numPr>
          <w:ilvl w:val="0"/>
          <w:numId w:val="13"/>
        </w:numPr>
        <w:rPr>
          <w:rFonts w:ascii="Arial" w:hAnsi="Arial" w:cs="Arial"/>
        </w:rPr>
      </w:pPr>
      <w:r>
        <w:rPr>
          <w:rFonts w:cs="Arial" w:ascii="Arial" w:hAnsi="Arial"/>
        </w:rPr>
        <w:t>Correponde a las Diputaciones provinciales la competencia exclusiva en materia de juventud</w:t>
      </w:r>
    </w:p>
    <w:p>
      <w:pPr>
        <w:pStyle w:val="ListParagraph"/>
        <w:numPr>
          <w:ilvl w:val="0"/>
          <w:numId w:val="13"/>
        </w:numPr>
        <w:rPr>
          <w:rFonts w:ascii="Arial" w:hAnsi="Arial" w:cs="Arial"/>
          <w:b/>
          <w:b/>
          <w:u w:val="single"/>
        </w:rPr>
      </w:pPr>
      <w:r>
        <w:rPr>
          <w:rFonts w:cs="Arial" w:ascii="Arial" w:hAnsi="Arial"/>
          <w:b/>
          <w:u w:val="single"/>
        </w:rPr>
        <w:t>Corresponde a la Generalitat la competencia exclusiva en materia de juventud</w:t>
      </w:r>
    </w:p>
    <w:p>
      <w:pPr>
        <w:pStyle w:val="ListParagraph"/>
        <w:numPr>
          <w:ilvl w:val="0"/>
          <w:numId w:val="13"/>
        </w:numPr>
        <w:rPr>
          <w:rFonts w:ascii="Arial" w:hAnsi="Arial" w:cs="Arial"/>
        </w:rPr>
      </w:pPr>
      <w:r>
        <w:rPr>
          <w:rFonts w:cs="Arial" w:ascii="Arial" w:hAnsi="Arial"/>
        </w:rPr>
        <w:t>Las competencias en juventud son compartidas entre ayuntamientos y generalitat</w:t>
      </w:r>
    </w:p>
    <w:p>
      <w:pPr>
        <w:pStyle w:val="Normal"/>
        <w:rPr>
          <w:rFonts w:cs="Arial"/>
        </w:rPr>
      </w:pPr>
      <w:r>
        <w:rPr>
          <w:rFonts w:cs="Arial"/>
        </w:rPr>
      </w:r>
    </w:p>
    <w:p>
      <w:pPr>
        <w:pStyle w:val="Normal"/>
        <w:rPr>
          <w:rFonts w:cs="Arial"/>
        </w:rPr>
      </w:pPr>
      <w:r>
        <w:rPr>
          <w:rFonts w:cs="Arial"/>
        </w:rPr>
      </w:r>
    </w:p>
    <w:p>
      <w:pPr>
        <w:pStyle w:val="ListParagraph"/>
        <w:numPr>
          <w:ilvl w:val="0"/>
          <w:numId w:val="25"/>
        </w:numPr>
        <w:rPr>
          <w:rFonts w:ascii="Arial" w:hAnsi="Arial" w:cs="Arial"/>
        </w:rPr>
      </w:pPr>
      <w:r>
        <w:rPr>
          <w:rFonts w:cs="Arial" w:ascii="Arial" w:hAnsi="Arial"/>
        </w:rPr>
        <w:t>Qué recurso y servicio para la juventud tiene previsto la ley 15/2017 para la realización de actividades de ocio</w:t>
      </w:r>
    </w:p>
    <w:p>
      <w:pPr>
        <w:pStyle w:val="ListParagraph"/>
        <w:numPr>
          <w:ilvl w:val="0"/>
          <w:numId w:val="1"/>
        </w:numPr>
        <w:rPr>
          <w:rFonts w:ascii="Arial" w:hAnsi="Arial" w:cs="Arial"/>
        </w:rPr>
      </w:pPr>
      <w:r>
        <w:rPr>
          <w:rFonts w:cs="Arial" w:ascii="Arial" w:hAnsi="Arial"/>
        </w:rPr>
        <w:t>Xarxa Valenciana de información y animación juvenil</w:t>
      </w:r>
    </w:p>
    <w:p>
      <w:pPr>
        <w:pStyle w:val="ListParagraph"/>
        <w:numPr>
          <w:ilvl w:val="0"/>
          <w:numId w:val="1"/>
        </w:numPr>
        <w:rPr>
          <w:rFonts w:ascii="Arial" w:hAnsi="Arial" w:cs="Arial"/>
          <w:b/>
          <w:b/>
          <w:u w:val="single"/>
        </w:rPr>
      </w:pPr>
      <w:r>
        <w:rPr>
          <w:rFonts w:cs="Arial" w:ascii="Arial" w:hAnsi="Arial"/>
          <w:b/>
          <w:u w:val="single"/>
        </w:rPr>
        <w:t>Xarxa Valenciana d’Oci Educatiu</w:t>
      </w:r>
    </w:p>
    <w:p>
      <w:pPr>
        <w:pStyle w:val="ListParagraph"/>
        <w:numPr>
          <w:ilvl w:val="0"/>
          <w:numId w:val="1"/>
        </w:numPr>
        <w:rPr>
          <w:rFonts w:ascii="Arial" w:hAnsi="Arial" w:cs="Arial"/>
        </w:rPr>
      </w:pPr>
      <w:r>
        <w:rPr>
          <w:rFonts w:cs="Arial" w:ascii="Arial" w:hAnsi="Arial"/>
        </w:rPr>
        <w:t>Escuelas de Animación</w:t>
      </w:r>
    </w:p>
    <w:p>
      <w:pPr>
        <w:pStyle w:val="ListParagraph"/>
        <w:numPr>
          <w:ilvl w:val="0"/>
          <w:numId w:val="1"/>
        </w:numPr>
        <w:rPr>
          <w:rFonts w:ascii="Arial" w:hAnsi="Arial" w:cs="Arial"/>
        </w:rPr>
      </w:pPr>
      <w:r>
        <w:rPr>
          <w:rFonts w:cs="Arial" w:ascii="Arial" w:hAnsi="Arial"/>
        </w:rPr>
        <w:t>Xarxa Valenciana d’Albergues Juvenils</w:t>
      </w:r>
    </w:p>
    <w:p>
      <w:pPr>
        <w:pStyle w:val="ListParagraph"/>
        <w:rPr>
          <w:rFonts w:ascii="Arial" w:hAnsi="Arial" w:cs="Arial"/>
        </w:rPr>
      </w:pPr>
      <w:r>
        <w:rPr>
          <w:rFonts w:cs="Arial" w:ascii="Arial" w:hAnsi="Arial"/>
        </w:rPr>
      </w:r>
    </w:p>
    <w:p>
      <w:pPr>
        <w:pStyle w:val="ListParagraph"/>
        <w:rPr>
          <w:rFonts w:ascii="Arial" w:hAnsi="Arial" w:cs="Arial"/>
        </w:rPr>
      </w:pPr>
      <w:r>
        <w:rPr>
          <w:rFonts w:cs="Arial" w:ascii="Arial" w:hAnsi="Arial"/>
        </w:rPr>
      </w:r>
    </w:p>
    <w:p>
      <w:pPr>
        <w:pStyle w:val="ListParagraph"/>
        <w:numPr>
          <w:ilvl w:val="0"/>
          <w:numId w:val="25"/>
        </w:numPr>
        <w:rPr>
          <w:rFonts w:ascii="Arial" w:hAnsi="Arial" w:cs="Arial"/>
        </w:rPr>
      </w:pPr>
      <w:r>
        <w:rPr>
          <w:rFonts w:cs="Arial" w:ascii="Arial" w:hAnsi="Arial"/>
        </w:rPr>
        <w:t>Cuál es el programa de educación sexual que se aplica a la población adolescente desde la Conselleria de Sanidad, en centros de secundaria</w:t>
      </w:r>
    </w:p>
    <w:p>
      <w:pPr>
        <w:pStyle w:val="ListParagraph"/>
        <w:numPr>
          <w:ilvl w:val="0"/>
          <w:numId w:val="2"/>
        </w:numPr>
        <w:rPr>
          <w:rFonts w:ascii="Arial" w:hAnsi="Arial" w:cs="Arial"/>
        </w:rPr>
      </w:pPr>
      <w:r>
        <w:rPr>
          <w:rFonts w:cs="Arial" w:ascii="Arial" w:hAnsi="Arial"/>
        </w:rPr>
        <w:t>OCAS</w:t>
      </w:r>
    </w:p>
    <w:p>
      <w:pPr>
        <w:pStyle w:val="ListParagraph"/>
        <w:numPr>
          <w:ilvl w:val="0"/>
          <w:numId w:val="2"/>
        </w:numPr>
        <w:rPr>
          <w:rFonts w:ascii="Arial" w:hAnsi="Arial" w:cs="Arial"/>
          <w:b/>
          <w:b/>
          <w:u w:val="single"/>
        </w:rPr>
      </w:pPr>
      <w:r>
        <w:rPr>
          <w:rFonts w:cs="Arial" w:ascii="Arial" w:hAnsi="Arial"/>
          <w:b/>
          <w:u w:val="single"/>
        </w:rPr>
        <w:t>PIES</w:t>
      </w:r>
    </w:p>
    <w:p>
      <w:pPr>
        <w:pStyle w:val="ListParagraph"/>
        <w:numPr>
          <w:ilvl w:val="0"/>
          <w:numId w:val="2"/>
        </w:numPr>
        <w:rPr>
          <w:rFonts w:ascii="Arial" w:hAnsi="Arial" w:cs="Arial"/>
        </w:rPr>
      </w:pPr>
      <w:r>
        <w:rPr>
          <w:rFonts w:cs="Arial" w:ascii="Arial" w:hAnsi="Arial"/>
        </w:rPr>
        <w:t>Preven-ETS</w:t>
      </w:r>
    </w:p>
    <w:p>
      <w:pPr>
        <w:pStyle w:val="ListParagraph"/>
        <w:numPr>
          <w:ilvl w:val="0"/>
          <w:numId w:val="2"/>
        </w:numPr>
        <w:rPr>
          <w:rFonts w:ascii="Arial" w:hAnsi="Arial" w:cs="Arial"/>
        </w:rPr>
      </w:pPr>
      <w:r>
        <w:rPr>
          <w:rFonts w:cs="Arial" w:ascii="Arial" w:hAnsi="Arial"/>
        </w:rPr>
        <w:t>Actualmente no existe ningún programa público que esté activo</w:t>
      </w:r>
    </w:p>
    <w:p>
      <w:pPr>
        <w:pStyle w:val="ListParagraph"/>
        <w:rPr>
          <w:rFonts w:ascii="Arial" w:hAnsi="Arial" w:cs="Arial"/>
        </w:rPr>
      </w:pPr>
      <w:r>
        <w:rPr>
          <w:rFonts w:cs="Arial" w:ascii="Arial" w:hAnsi="Arial"/>
        </w:rPr>
      </w:r>
    </w:p>
    <w:p>
      <w:pPr>
        <w:pStyle w:val="ListParagraph"/>
        <w:rPr>
          <w:rFonts w:ascii="Arial" w:hAnsi="Arial" w:cs="Arial"/>
        </w:rPr>
      </w:pPr>
      <w:r>
        <w:rPr>
          <w:rFonts w:cs="Arial" w:ascii="Arial" w:hAnsi="Arial"/>
        </w:rPr>
      </w:r>
    </w:p>
    <w:p>
      <w:pPr>
        <w:pStyle w:val="ListParagraph"/>
        <w:numPr>
          <w:ilvl w:val="0"/>
          <w:numId w:val="25"/>
        </w:numPr>
        <w:rPr>
          <w:rFonts w:ascii="Arial" w:hAnsi="Arial" w:cs="Arial"/>
        </w:rPr>
      </w:pPr>
      <w:r>
        <w:rPr>
          <w:rFonts w:cs="Arial" w:ascii="Arial" w:hAnsi="Arial"/>
        </w:rPr>
        <w:t>Una asociación juvenil es</w:t>
      </w:r>
    </w:p>
    <w:p>
      <w:pPr>
        <w:pStyle w:val="ListParagraph"/>
        <w:numPr>
          <w:ilvl w:val="0"/>
          <w:numId w:val="3"/>
        </w:numPr>
        <w:rPr>
          <w:rFonts w:ascii="Arial" w:hAnsi="Arial" w:cs="Arial"/>
        </w:rPr>
      </w:pPr>
      <w:r>
        <w:rPr>
          <w:rFonts w:cs="Arial" w:ascii="Arial" w:hAnsi="Arial"/>
        </w:rPr>
        <w:t>Una unión libre y voluntaria de jóvenes con objetivos comunes, que no requiere registrarse para su funcionamiento</w:t>
      </w:r>
    </w:p>
    <w:p>
      <w:pPr>
        <w:pStyle w:val="ListParagraph"/>
        <w:numPr>
          <w:ilvl w:val="0"/>
          <w:numId w:val="3"/>
        </w:numPr>
        <w:rPr>
          <w:rFonts w:ascii="Arial" w:hAnsi="Arial" w:cs="Arial"/>
        </w:rPr>
      </w:pPr>
      <w:r>
        <w:rPr>
          <w:rFonts w:cs="Arial" w:ascii="Arial" w:hAnsi="Arial"/>
        </w:rPr>
        <w:t>Una unión libre y voluntaria de un grupo de jóvenes  de 15 a 35 años, con intereses comunes y sin límite de edad, que buscan colaborar en la promoción, formación, integración social y entretenimiento de la juventud. Se trata de entidades sin ánimo de lucro y de carácter democrático, independiente y autónomo</w:t>
      </w:r>
    </w:p>
    <w:p>
      <w:pPr>
        <w:pStyle w:val="ListParagraph"/>
        <w:numPr>
          <w:ilvl w:val="0"/>
          <w:numId w:val="3"/>
        </w:numPr>
        <w:rPr>
          <w:rFonts w:ascii="Arial" w:hAnsi="Arial" w:cs="Arial"/>
        </w:rPr>
      </w:pPr>
      <w:r>
        <w:rPr>
          <w:rFonts w:cs="Arial" w:ascii="Arial" w:hAnsi="Arial"/>
        </w:rPr>
        <w:t>Una agrupación de personas que prestan servicios a la comunidad, con y sin ánimo de lucro</w:t>
      </w:r>
    </w:p>
    <w:p>
      <w:pPr>
        <w:pStyle w:val="ListParagraph"/>
        <w:numPr>
          <w:ilvl w:val="0"/>
          <w:numId w:val="3"/>
        </w:numPr>
        <w:rPr>
          <w:rFonts w:ascii="Arial" w:hAnsi="Arial" w:cs="Arial"/>
          <w:b/>
          <w:b/>
          <w:u w:val="single"/>
        </w:rPr>
      </w:pPr>
      <w:r>
        <w:rPr>
          <w:rFonts w:cs="Arial" w:ascii="Arial" w:hAnsi="Arial"/>
          <w:b/>
          <w:u w:val="single"/>
        </w:rPr>
        <w:t>Una unión libre y voluntaria de un grupo de jóvenes entre los 14 y los 30 años de edad, que tienen unos intereses comunes y que buscan colaborar en la promoción, formación, integración social y entretenimiento de la juventud. Se trata de entidades sin ánimo de lucro y de carácter democrático, independiente y autónomo.</w:t>
      </w:r>
    </w:p>
    <w:p>
      <w:pPr>
        <w:pStyle w:val="ListParagraph"/>
        <w:rPr>
          <w:rFonts w:ascii="Arial" w:hAnsi="Arial" w:cs="Arial"/>
          <w:b/>
          <w:b/>
          <w:u w:val="single"/>
        </w:rPr>
      </w:pPr>
      <w:r>
        <w:rPr>
          <w:rFonts w:cs="Arial" w:ascii="Arial" w:hAnsi="Arial"/>
          <w:b/>
          <w:u w:val="single"/>
        </w:rPr>
      </w:r>
    </w:p>
    <w:p>
      <w:pPr>
        <w:pStyle w:val="ListParagraph"/>
        <w:numPr>
          <w:ilvl w:val="0"/>
          <w:numId w:val="25"/>
        </w:numPr>
        <w:rPr>
          <w:rFonts w:ascii="Arial" w:hAnsi="Arial" w:cs="Arial"/>
        </w:rPr>
      </w:pPr>
      <w:r>
        <w:rPr>
          <w:rFonts w:cs="Arial" w:ascii="Arial" w:hAnsi="Arial"/>
        </w:rPr>
        <w:t>Los principios rectores de un Plan de Juventud, son:</w:t>
      </w:r>
    </w:p>
    <w:p>
      <w:pPr>
        <w:pStyle w:val="ListParagraph"/>
        <w:numPr>
          <w:ilvl w:val="0"/>
          <w:numId w:val="4"/>
        </w:numPr>
        <w:rPr>
          <w:rFonts w:ascii="Arial" w:hAnsi="Arial" w:cs="Arial"/>
        </w:rPr>
      </w:pPr>
      <w:r>
        <w:rPr>
          <w:rFonts w:cs="Arial" w:ascii="Arial" w:hAnsi="Arial"/>
        </w:rPr>
        <w:t>Empoderamiento, inclusión, igualdad y proximidad</w:t>
      </w:r>
    </w:p>
    <w:p>
      <w:pPr>
        <w:pStyle w:val="ListParagraph"/>
        <w:numPr>
          <w:ilvl w:val="0"/>
          <w:numId w:val="4"/>
        </w:numPr>
        <w:rPr>
          <w:rFonts w:ascii="Arial" w:hAnsi="Arial" w:cs="Arial"/>
        </w:rPr>
      </w:pPr>
      <w:r>
        <w:rPr>
          <w:rFonts w:cs="Arial" w:ascii="Arial" w:hAnsi="Arial"/>
        </w:rPr>
        <w:t>Empoderamiento, inclusión, igualdad, proximidad y transparencia</w:t>
      </w:r>
    </w:p>
    <w:p>
      <w:pPr>
        <w:pStyle w:val="ListParagraph"/>
        <w:numPr>
          <w:ilvl w:val="0"/>
          <w:numId w:val="4"/>
        </w:numPr>
        <w:rPr>
          <w:rFonts w:ascii="Arial" w:hAnsi="Arial" w:cs="Arial"/>
        </w:rPr>
      </w:pPr>
      <w:r>
        <w:rPr>
          <w:rFonts w:cs="Arial" w:ascii="Arial" w:hAnsi="Arial"/>
        </w:rPr>
        <w:t>Empoderamiento, inclusión, igualdad, proximidad, fiabilidad y compromiso social</w:t>
      </w:r>
    </w:p>
    <w:p>
      <w:pPr>
        <w:pStyle w:val="ListParagraph"/>
        <w:numPr>
          <w:ilvl w:val="0"/>
          <w:numId w:val="4"/>
        </w:numPr>
        <w:rPr>
          <w:rFonts w:ascii="Arial" w:hAnsi="Arial" w:cs="Arial"/>
          <w:b/>
          <w:b/>
          <w:u w:val="single"/>
        </w:rPr>
      </w:pPr>
      <w:r>
        <w:rPr>
          <w:rFonts w:cs="Arial" w:ascii="Arial" w:hAnsi="Arial"/>
          <w:b/>
          <w:u w:val="single"/>
        </w:rPr>
        <w:t>Empoderamiento, inclusión, igualdad, proximidad, transversalidad, responsabilidad pública y TIC.</w:t>
      </w:r>
    </w:p>
    <w:p>
      <w:pPr>
        <w:pStyle w:val="Normal"/>
        <w:rPr>
          <w:rFonts w:cs="Arial"/>
        </w:rPr>
      </w:pPr>
      <w:r>
        <w:rPr>
          <w:rFonts w:cs="Arial"/>
        </w:rPr>
        <w:t xml:space="preserve">11. Los elementos de apoyo para la planificación y control de la Estrategia valenciana de juventud serán: </w:t>
      </w:r>
    </w:p>
    <w:p>
      <w:pPr>
        <w:pStyle w:val="Normal"/>
        <w:rPr>
          <w:rFonts w:cs="Arial"/>
        </w:rPr>
      </w:pPr>
      <w:r>
        <w:rPr>
          <w:rFonts w:cs="Arial"/>
        </w:rPr>
        <w:t xml:space="preserve">a) El Consejo Rector del Ivaj y La Comisión Interdepartamental de Juventud de la Generalitat. </w:t>
      </w:r>
    </w:p>
    <w:p>
      <w:pPr>
        <w:pStyle w:val="Normal"/>
        <w:rPr>
          <w:rFonts w:cs="Arial"/>
        </w:rPr>
      </w:pPr>
      <w:r>
        <w:rPr>
          <w:rFonts w:cs="Arial"/>
        </w:rPr>
        <w:t>b) Los planes territoriales de juventud, La Xarxa Jove y El Consejo Rector del Ivaj</w:t>
      </w:r>
    </w:p>
    <w:p>
      <w:pPr>
        <w:pStyle w:val="Normal"/>
        <w:rPr>
          <w:rFonts w:cs="Arial"/>
        </w:rPr>
      </w:pPr>
      <w:r>
        <w:rPr>
          <w:rFonts w:cs="Arial"/>
        </w:rPr>
        <w:t>c) Los planes territoriales de juventud y La Xarxa Jove.</w:t>
      </w:r>
    </w:p>
    <w:p>
      <w:pPr>
        <w:pStyle w:val="Normal"/>
        <w:rPr>
          <w:rFonts w:cs="Arial"/>
          <w:b/>
          <w:b/>
          <w:u w:val="single"/>
        </w:rPr>
      </w:pPr>
      <w:r>
        <w:rPr>
          <w:rFonts w:cs="Arial"/>
          <w:b/>
          <w:u w:val="single"/>
        </w:rPr>
        <w:t>d) a y c son correctas</w:t>
      </w:r>
    </w:p>
    <w:p>
      <w:pPr>
        <w:pStyle w:val="Normal"/>
        <w:rPr>
          <w:rFonts w:cs="Arial"/>
        </w:rPr>
      </w:pPr>
      <w:r>
        <w:rPr>
          <w:rFonts w:cs="Arial"/>
        </w:rPr>
        <w:t>12. La Xarxa valenciana de Información y Animación Juvenil, está integrada por:</w:t>
      </w:r>
    </w:p>
    <w:p>
      <w:pPr>
        <w:pStyle w:val="ListParagraph"/>
        <w:numPr>
          <w:ilvl w:val="0"/>
          <w:numId w:val="6"/>
        </w:numPr>
        <w:rPr>
          <w:rFonts w:ascii="Arial" w:hAnsi="Arial" w:cs="Arial"/>
          <w:b/>
          <w:b/>
          <w:u w:val="single"/>
        </w:rPr>
      </w:pPr>
      <w:r>
        <w:rPr>
          <w:rFonts w:cs="Arial" w:ascii="Arial" w:hAnsi="Arial"/>
          <w:b/>
          <w:u w:val="single"/>
        </w:rPr>
        <w:t>Servicios promovidos en la Comunidad Valenciana por entidades sin ánimo de lucro que tengan por objeto la información, la formación, el asesoramiento u orientación de jóvenes.</w:t>
      </w:r>
    </w:p>
    <w:p>
      <w:pPr>
        <w:pStyle w:val="ListParagraph"/>
        <w:numPr>
          <w:ilvl w:val="0"/>
          <w:numId w:val="6"/>
        </w:numPr>
        <w:rPr>
          <w:rFonts w:ascii="Arial" w:hAnsi="Arial" w:cs="Arial"/>
        </w:rPr>
      </w:pPr>
      <w:r>
        <w:rPr>
          <w:rFonts w:cs="Arial" w:ascii="Arial" w:hAnsi="Arial"/>
        </w:rPr>
        <w:t>Servicios promovidos en la Comunidad Valenciana por ayuntamientos y entidades sin ánimo de lucro que tengan por objeto la información, la formación, el asesoramiento u orientación de jóvenes.</w:t>
      </w:r>
    </w:p>
    <w:p>
      <w:pPr>
        <w:pStyle w:val="ListParagraph"/>
        <w:numPr>
          <w:ilvl w:val="0"/>
          <w:numId w:val="6"/>
        </w:numPr>
        <w:rPr>
          <w:rFonts w:ascii="Arial" w:hAnsi="Arial" w:cs="Arial"/>
        </w:rPr>
      </w:pPr>
      <w:r>
        <w:rPr>
          <w:rFonts w:cs="Arial" w:ascii="Arial" w:hAnsi="Arial"/>
        </w:rPr>
        <w:t>Servicios promovidos en la Comunidad Valenciana por Diputaciones, Mancomunidades y Ayuntamientos que tengan por objeto la información, la formación, el asesoramiento u orientación de jóvenes</w:t>
      </w:r>
    </w:p>
    <w:p>
      <w:pPr>
        <w:pStyle w:val="ListParagraph"/>
        <w:numPr>
          <w:ilvl w:val="0"/>
          <w:numId w:val="6"/>
        </w:numPr>
        <w:rPr>
          <w:rFonts w:ascii="Arial" w:hAnsi="Arial" w:cs="Arial"/>
        </w:rPr>
      </w:pPr>
      <w:r>
        <w:rPr>
          <w:rFonts w:cs="Arial" w:ascii="Arial" w:hAnsi="Arial"/>
        </w:rPr>
        <w:t>Servicios promovidos en la Comunidad Valenciana por entidades sin ánimo de lucro y empresas reconocidas y registradas por el IVAJ, que tengan por objeto la información, la formación, el asesoramiento u orientación de jóvenes</w:t>
      </w:r>
    </w:p>
    <w:p>
      <w:pPr>
        <w:pStyle w:val="Normal"/>
        <w:ind w:left="360" w:hanging="0"/>
        <w:rPr>
          <w:rFonts w:cs="Arial"/>
        </w:rPr>
      </w:pPr>
      <w:r>
        <w:rPr>
          <w:rFonts w:cs="Arial"/>
        </w:rPr>
      </w:r>
    </w:p>
    <w:p>
      <w:pPr>
        <w:pStyle w:val="Normal"/>
        <w:rPr>
          <w:rFonts w:cs="Arial"/>
        </w:rPr>
      </w:pPr>
      <w:r>
        <w:rPr>
          <w:rFonts w:cs="Arial"/>
        </w:rPr>
        <w:t>13.  Entre las competencias del Servicio de Ocio Educativo y Emancipación de la subdirección general del IVAJ, estarían</w:t>
      </w:r>
    </w:p>
    <w:p>
      <w:pPr>
        <w:pStyle w:val="ListParagraph"/>
        <w:numPr>
          <w:ilvl w:val="0"/>
          <w:numId w:val="7"/>
        </w:numPr>
        <w:rPr>
          <w:rFonts w:ascii="Arial" w:hAnsi="Arial" w:cs="Arial"/>
          <w:b/>
          <w:b/>
          <w:u w:val="single"/>
        </w:rPr>
      </w:pPr>
      <w:r>
        <w:rPr>
          <w:rFonts w:cs="Arial" w:ascii="Arial" w:hAnsi="Arial"/>
          <w:b/>
          <w:u w:val="single"/>
        </w:rPr>
        <w:t>La gestión de los programas de la Unión Europea dirigidos a jóvenes</w:t>
      </w:r>
    </w:p>
    <w:p>
      <w:pPr>
        <w:pStyle w:val="ListParagraph"/>
        <w:numPr>
          <w:ilvl w:val="0"/>
          <w:numId w:val="7"/>
        </w:numPr>
        <w:rPr>
          <w:rFonts w:ascii="Arial" w:hAnsi="Arial" w:cs="Arial"/>
        </w:rPr>
      </w:pPr>
      <w:r>
        <w:rPr>
          <w:rFonts w:cs="Arial" w:ascii="Arial" w:hAnsi="Arial"/>
        </w:rPr>
        <w:t>Ofrecer asesoramiento y recursos técnicos a los municipios para llevar a cabo coordinadamente actividades y campañas de sensibilización en materia de juventud y para la elaboración de los planes locales y territoriales de juventud.</w:t>
      </w:r>
    </w:p>
    <w:p>
      <w:pPr>
        <w:pStyle w:val="ListParagraph"/>
        <w:numPr>
          <w:ilvl w:val="0"/>
          <w:numId w:val="7"/>
        </w:numPr>
        <w:rPr>
          <w:rFonts w:ascii="Arial" w:hAnsi="Arial" w:cs="Arial"/>
        </w:rPr>
      </w:pPr>
      <w:r>
        <w:rPr>
          <w:rFonts w:cs="Arial" w:ascii="Arial" w:hAnsi="Arial"/>
        </w:rPr>
        <w:t xml:space="preserve">El fomento de actividades culturales para jóvenes </w:t>
      </w:r>
    </w:p>
    <w:p>
      <w:pPr>
        <w:pStyle w:val="ListParagraph"/>
        <w:numPr>
          <w:ilvl w:val="0"/>
          <w:numId w:val="7"/>
        </w:numPr>
        <w:rPr>
          <w:rFonts w:ascii="Arial" w:hAnsi="Arial" w:cs="Arial"/>
        </w:rPr>
      </w:pPr>
      <w:r>
        <w:rPr>
          <w:rFonts w:cs="Arial" w:ascii="Arial" w:hAnsi="Arial"/>
        </w:rPr>
        <w:t>Las tres opciones a, b y c, son correctas.</w:t>
      </w:r>
    </w:p>
    <w:p>
      <w:pPr>
        <w:pStyle w:val="Normal"/>
        <w:rPr>
          <w:rFonts w:cs="Arial"/>
        </w:rPr>
      </w:pPr>
      <w:r>
        <w:rPr>
          <w:rFonts w:cs="Arial"/>
        </w:rPr>
      </w:r>
    </w:p>
    <w:p>
      <w:pPr>
        <w:pStyle w:val="Normal"/>
        <w:rPr>
          <w:rFonts w:cs="Arial"/>
        </w:rPr>
      </w:pPr>
      <w:r>
        <w:rPr>
          <w:rFonts w:cs="Arial"/>
        </w:rPr>
        <w:t>14. La Ley 15/2017 , 10 de noviembre  , de la Generalitat, de políticas integrales de la juventud contiene:</w:t>
      </w:r>
    </w:p>
    <w:p>
      <w:pPr>
        <w:pStyle w:val="ListParagraph"/>
        <w:numPr>
          <w:ilvl w:val="0"/>
          <w:numId w:val="22"/>
        </w:numPr>
        <w:spacing w:before="0" w:after="200"/>
        <w:rPr>
          <w:u w:val="single"/>
        </w:rPr>
      </w:pPr>
      <w:r>
        <w:rPr>
          <w:rFonts w:cs="Arial" w:ascii="Arial" w:hAnsi="Arial"/>
          <w:b/>
          <w:u w:val="single"/>
        </w:rPr>
        <w:t>Cinco títulos, cincuenta y nueve artículos, siete disposiciones  transitorias , una disposición derogatoria y dos disposiciones finales.</w:t>
      </w:r>
    </w:p>
    <w:p>
      <w:pPr>
        <w:pStyle w:val="ListParagraph"/>
        <w:numPr>
          <w:ilvl w:val="0"/>
          <w:numId w:val="22"/>
        </w:numPr>
        <w:spacing w:before="0" w:after="200"/>
        <w:rPr>
          <w:rFonts w:ascii="Arial" w:hAnsi="Arial" w:cs="Arial"/>
        </w:rPr>
      </w:pPr>
      <w:r>
        <w:rPr>
          <w:rFonts w:cs="Arial" w:ascii="Arial" w:hAnsi="Arial"/>
        </w:rPr>
        <w:t>Cinco títulos, cincuenta y ocho artículos, siete disposiciones transitorias ,dos disposiciones derogatorias  y dos disposiciones finales.</w:t>
      </w:r>
    </w:p>
    <w:p>
      <w:pPr>
        <w:pStyle w:val="ListParagraph"/>
        <w:numPr>
          <w:ilvl w:val="0"/>
          <w:numId w:val="22"/>
        </w:numPr>
        <w:spacing w:before="0" w:after="200"/>
        <w:rPr>
          <w:rFonts w:ascii="Arial" w:hAnsi="Arial" w:cs="Arial"/>
        </w:rPr>
      </w:pPr>
      <w:r>
        <w:rPr>
          <w:rFonts w:cs="Arial" w:ascii="Arial" w:hAnsi="Arial"/>
        </w:rPr>
        <w:t>Cinco títulos, cincuenta y nueve artículos , siete disposiciones transitorias , dos disposiciones derogatorias  y dos disposiciones finales.</w:t>
      </w:r>
    </w:p>
    <w:p>
      <w:pPr>
        <w:pStyle w:val="ListParagraph"/>
        <w:numPr>
          <w:ilvl w:val="0"/>
          <w:numId w:val="22"/>
        </w:numPr>
        <w:spacing w:before="0" w:after="200"/>
        <w:rPr>
          <w:rFonts w:ascii="Arial" w:hAnsi="Arial" w:cs="Arial"/>
        </w:rPr>
      </w:pPr>
      <w:r>
        <w:rPr>
          <w:rFonts w:cs="Arial" w:ascii="Arial" w:hAnsi="Arial"/>
        </w:rPr>
        <w:t>Cinco títulos, cincuenta y nueve artículos, seis disposiciones transitorias, una disposición derogatoria y dos disposiciones finales.</w:t>
      </w:r>
    </w:p>
    <w:p>
      <w:pPr>
        <w:pStyle w:val="Standard"/>
        <w:rPr>
          <w:szCs w:val="22"/>
        </w:rPr>
      </w:pPr>
      <w:r>
        <w:rPr>
          <w:szCs w:val="22"/>
        </w:rPr>
      </w:r>
    </w:p>
    <w:p>
      <w:pPr>
        <w:pStyle w:val="Standard"/>
        <w:rPr>
          <w:szCs w:val="22"/>
        </w:rPr>
      </w:pPr>
      <w:r>
        <w:rPr>
          <w:szCs w:val="22"/>
        </w:rPr>
      </w:r>
    </w:p>
    <w:p>
      <w:pPr>
        <w:pStyle w:val="Standard"/>
        <w:rPr>
          <w:szCs w:val="22"/>
        </w:rPr>
      </w:pPr>
      <w:r>
        <w:rPr>
          <w:szCs w:val="22"/>
        </w:rPr>
      </w:r>
    </w:p>
    <w:p>
      <w:pPr>
        <w:pStyle w:val="Standard"/>
        <w:rPr>
          <w:szCs w:val="22"/>
        </w:rPr>
      </w:pPr>
      <w:r>
        <w:rPr>
          <w:szCs w:val="22"/>
        </w:rPr>
      </w:r>
    </w:p>
    <w:p>
      <w:pPr>
        <w:pStyle w:val="Standard"/>
        <w:rPr>
          <w:szCs w:val="22"/>
        </w:rPr>
      </w:pPr>
      <w:r>
        <w:rPr>
          <w:szCs w:val="22"/>
        </w:rPr>
      </w:r>
    </w:p>
    <w:p>
      <w:pPr>
        <w:pStyle w:val="Standard"/>
        <w:rPr>
          <w:szCs w:val="22"/>
        </w:rPr>
      </w:pPr>
      <w:r>
        <w:rPr>
          <w:szCs w:val="22"/>
        </w:rPr>
      </w:r>
    </w:p>
    <w:p>
      <w:pPr>
        <w:pStyle w:val="Standard"/>
        <w:rPr>
          <w:szCs w:val="22"/>
        </w:rPr>
      </w:pPr>
      <w:r>
        <w:rPr>
          <w:szCs w:val="22"/>
        </w:rPr>
      </w:r>
    </w:p>
    <w:p>
      <w:pPr>
        <w:pStyle w:val="Standard"/>
        <w:rPr>
          <w:szCs w:val="22"/>
        </w:rPr>
      </w:pPr>
      <w:r>
        <w:rPr>
          <w:szCs w:val="22"/>
        </w:rPr>
      </w:r>
    </w:p>
    <w:p>
      <w:pPr>
        <w:pStyle w:val="Standard"/>
        <w:rPr>
          <w:szCs w:val="22"/>
        </w:rPr>
      </w:pPr>
      <w:r>
        <w:rPr>
          <w:szCs w:val="22"/>
        </w:rPr>
      </w:r>
    </w:p>
    <w:p>
      <w:pPr>
        <w:pStyle w:val="Standard"/>
        <w:rPr>
          <w:szCs w:val="22"/>
        </w:rPr>
      </w:pPr>
      <w:r>
        <w:rPr>
          <w:szCs w:val="22"/>
        </w:rPr>
      </w:r>
    </w:p>
    <w:p>
      <w:pPr>
        <w:pStyle w:val="Standard"/>
        <w:rPr>
          <w:szCs w:val="22"/>
        </w:rPr>
      </w:pPr>
      <w:r>
        <w:rPr>
          <w:szCs w:val="22"/>
        </w:rPr>
      </w:r>
    </w:p>
    <w:p>
      <w:pPr>
        <w:pStyle w:val="Standard"/>
        <w:rPr>
          <w:szCs w:val="22"/>
        </w:rPr>
      </w:pPr>
      <w:r>
        <w:rPr>
          <w:szCs w:val="22"/>
        </w:rPr>
        <w:t>15. ¿Cuál de los siguientes programas ofrece actualmente el IVAJ ?</w:t>
      </w:r>
    </w:p>
    <w:p>
      <w:pPr>
        <w:pStyle w:val="Standard"/>
        <w:rPr>
          <w:szCs w:val="22"/>
        </w:rPr>
      </w:pPr>
      <w:r>
        <w:rPr>
          <w:szCs w:val="22"/>
        </w:rPr>
      </w:r>
    </w:p>
    <w:p>
      <w:pPr>
        <w:pStyle w:val="Standard"/>
        <w:jc w:val="both"/>
        <w:rPr>
          <w:szCs w:val="22"/>
        </w:rPr>
      </w:pPr>
      <w:r>
        <w:rPr>
          <w:szCs w:val="22"/>
        </w:rPr>
        <w:t xml:space="preserve">a) </w:t>
      </w:r>
      <w:r>
        <w:rPr>
          <w:b/>
          <w:bCs/>
          <w:szCs w:val="22"/>
          <w:u w:val="single"/>
        </w:rPr>
        <w:t>Programa  Carnet Jove, Programa  Joven Oportunidad, Servicios de información juvenil  , Xarxa Jove, Campos  voluntarios propios, Cursos de formación , Programas Viu l´estiu y Viu l´hivern , Programa de albergues y campamentos juveniles , Actividades naúticas  e Intercambios en campamentos de verano.</w:t>
      </w:r>
    </w:p>
    <w:p>
      <w:pPr>
        <w:pStyle w:val="Standard"/>
        <w:jc w:val="both"/>
        <w:rPr>
          <w:szCs w:val="22"/>
        </w:rPr>
      </w:pPr>
      <w:r>
        <w:rPr>
          <w:szCs w:val="22"/>
        </w:rPr>
        <w:t>b) Xarxa Jove, Servicios de información juvenil , Programa Joven Oportunidad, Programa Carnet  Jove, Curso de monitores/as de actividades de tiempo libre educativo infantil y juvenil, Programas Viu l´estiu y Viu l ´hivern, Actividades naúticas , Intercambios en campamentos de verano  ,Programa de albergues y campamentos juveniles.</w:t>
      </w:r>
    </w:p>
    <w:p>
      <w:pPr>
        <w:pStyle w:val="Standard"/>
        <w:jc w:val="both"/>
        <w:rPr>
          <w:szCs w:val="22"/>
        </w:rPr>
      </w:pPr>
      <w:r>
        <w:rPr>
          <w:szCs w:val="22"/>
        </w:rPr>
        <w:t>c) Curso de monitores/as de actividades de tiempo libre educativo infantil y juvenil , Programas Viu l ´estiu y Viu l ´hivern, Programa de albergues y campamentos juveniles , Actividades naúticas , Intercambios en campamentos de verano , Curso de Directores/as  de actividades de tiempo libre educativos infantil y juvenil, Xarxa Jove, Programa Carnet Jove.</w:t>
      </w:r>
    </w:p>
    <w:p>
      <w:pPr>
        <w:pStyle w:val="Standard"/>
        <w:jc w:val="both"/>
        <w:rPr>
          <w:szCs w:val="22"/>
        </w:rPr>
      </w:pPr>
      <w:r>
        <w:rPr>
          <w:szCs w:val="22"/>
        </w:rPr>
        <w:t>d) Todas las respuestas son correctas.</w:t>
      </w:r>
    </w:p>
    <w:p>
      <w:pPr>
        <w:pStyle w:val="Standard"/>
        <w:jc w:val="both"/>
        <w:rPr>
          <w:szCs w:val="22"/>
        </w:rPr>
      </w:pPr>
      <w:r>
        <w:rPr>
          <w:szCs w:val="22"/>
        </w:rPr>
      </w:r>
    </w:p>
    <w:p>
      <w:pPr>
        <w:pStyle w:val="Standard"/>
        <w:jc w:val="both"/>
        <w:rPr>
          <w:szCs w:val="22"/>
        </w:rPr>
      </w:pPr>
      <w:r>
        <w:rPr>
          <w:szCs w:val="22"/>
        </w:rPr>
        <w:t>16. ¿Qué diferencia el asociacionismo juvenil de otra tipo de asociación?</w:t>
      </w:r>
    </w:p>
    <w:p>
      <w:pPr>
        <w:pStyle w:val="Standard"/>
        <w:jc w:val="both"/>
        <w:rPr>
          <w:szCs w:val="22"/>
        </w:rPr>
      </w:pPr>
      <w:r>
        <w:rPr>
          <w:szCs w:val="22"/>
        </w:rPr>
      </w:r>
    </w:p>
    <w:p>
      <w:pPr>
        <w:pStyle w:val="Standard"/>
        <w:jc w:val="both"/>
        <w:rPr>
          <w:szCs w:val="22"/>
        </w:rPr>
      </w:pPr>
      <w:r>
        <w:rPr>
          <w:szCs w:val="22"/>
        </w:rPr>
        <w:t>a) Lo que diferencia una asociación juvenil de otro tipo de asociación es el hecho de que sus estatutos establecen que sus miembros tendrán entre 14 y 30 años, y que incluso los menores de 18 años tienen capacidad de obrar en representación de la asociación</w:t>
      </w:r>
    </w:p>
    <w:p>
      <w:pPr>
        <w:pStyle w:val="Standard"/>
        <w:jc w:val="both"/>
        <w:rPr>
          <w:szCs w:val="22"/>
        </w:rPr>
      </w:pPr>
      <w:r>
        <w:rPr>
          <w:szCs w:val="22"/>
        </w:rPr>
        <w:t>b) Para la creación de una asociación juvenil, sólo es necesario la voluntad de un grupo de jóvenes (3 o más) para constituirse como tal.</w:t>
      </w:r>
    </w:p>
    <w:p>
      <w:pPr>
        <w:pStyle w:val="Standard"/>
        <w:jc w:val="both"/>
        <w:rPr>
          <w:b/>
          <w:b/>
          <w:bCs/>
          <w:szCs w:val="22"/>
        </w:rPr>
      </w:pPr>
      <w:r>
        <w:rPr>
          <w:b/>
          <w:bCs/>
          <w:szCs w:val="22"/>
        </w:rPr>
        <w:t xml:space="preserve">c) </w:t>
      </w:r>
      <w:r>
        <w:rPr>
          <w:b/>
          <w:bCs/>
          <w:szCs w:val="22"/>
          <w:u w:val="single"/>
        </w:rPr>
        <w:t>Son correctas las respuestas a) y la b)</w:t>
      </w:r>
    </w:p>
    <w:p>
      <w:pPr>
        <w:pStyle w:val="Standard"/>
        <w:jc w:val="both"/>
        <w:rPr>
          <w:szCs w:val="22"/>
        </w:rPr>
      </w:pPr>
      <w:r>
        <w:rPr>
          <w:szCs w:val="22"/>
        </w:rPr>
        <w:t>d) Sólo las personas mayores de 18 años pueden constituirse como miembros de una asociación juvenil</w:t>
      </w:r>
    </w:p>
    <w:p>
      <w:pPr>
        <w:pStyle w:val="Standard"/>
        <w:jc w:val="both"/>
        <w:rPr>
          <w:szCs w:val="22"/>
        </w:rPr>
      </w:pPr>
      <w:r>
        <w:rPr>
          <w:szCs w:val="22"/>
        </w:rPr>
      </w:r>
    </w:p>
    <w:p>
      <w:pPr>
        <w:pStyle w:val="Standard"/>
        <w:jc w:val="both"/>
        <w:rPr>
          <w:szCs w:val="22"/>
        </w:rPr>
      </w:pPr>
      <w:r>
        <w:rPr>
          <w:szCs w:val="22"/>
        </w:rPr>
      </w:r>
    </w:p>
    <w:p>
      <w:pPr>
        <w:pStyle w:val="Standard"/>
        <w:jc w:val="both"/>
        <w:rPr>
          <w:szCs w:val="22"/>
        </w:rPr>
      </w:pPr>
      <w:r>
        <w:rPr>
          <w:szCs w:val="22"/>
        </w:rPr>
        <w:t>17. La creación de una asociación se determina por lo establecido en la  Ley?</w:t>
      </w:r>
    </w:p>
    <w:p>
      <w:pPr>
        <w:pStyle w:val="Standard"/>
        <w:jc w:val="both"/>
        <w:rPr>
          <w:szCs w:val="22"/>
        </w:rPr>
      </w:pPr>
      <w:r>
        <w:rPr>
          <w:szCs w:val="22"/>
        </w:rPr>
      </w:r>
    </w:p>
    <w:p>
      <w:pPr>
        <w:pStyle w:val="Standard"/>
        <w:jc w:val="both"/>
        <w:rPr>
          <w:szCs w:val="22"/>
        </w:rPr>
      </w:pPr>
      <w:r>
        <w:rPr>
          <w:szCs w:val="22"/>
        </w:rPr>
        <w:t xml:space="preserve">a) </w:t>
      </w:r>
      <w:r>
        <w:rPr>
          <w:b/>
          <w:bCs/>
          <w:szCs w:val="22"/>
          <w:u w:val="single"/>
        </w:rPr>
        <w:t>La Ley Orgánica  1/2002 , de 22 de  marzo , reguladora del Derecho de Asociación , publicada en el BOE  núm. 73, de 26 de marzo de 2002.</w:t>
      </w:r>
    </w:p>
    <w:p>
      <w:pPr>
        <w:pStyle w:val="Standard"/>
        <w:jc w:val="both"/>
        <w:rPr>
          <w:szCs w:val="22"/>
        </w:rPr>
      </w:pPr>
      <w:r>
        <w:rPr>
          <w:szCs w:val="22"/>
        </w:rPr>
        <w:t>b) La Ley Orgánica 11/2002 , de 22 de marzo , reguladora del Derecho de Asociación, publicada en el BOE núm. 73, de 26 de marzo de 2002.</w:t>
      </w:r>
    </w:p>
    <w:p>
      <w:pPr>
        <w:pStyle w:val="Standard"/>
        <w:jc w:val="both"/>
        <w:rPr>
          <w:szCs w:val="22"/>
        </w:rPr>
      </w:pPr>
      <w:r>
        <w:rPr>
          <w:szCs w:val="22"/>
        </w:rPr>
        <w:t>c) La Ley Orgánica 1/2002 de 30 de marzo , reguladora del Derecho de Asociación, publicada en el BOE núm.73, de 26 de marzo de 2002.</w:t>
      </w:r>
    </w:p>
    <w:p>
      <w:pPr>
        <w:pStyle w:val="Standard"/>
        <w:jc w:val="both"/>
        <w:rPr>
          <w:szCs w:val="22"/>
        </w:rPr>
      </w:pPr>
      <w:r>
        <w:rPr>
          <w:szCs w:val="22"/>
        </w:rPr>
        <w:t>d) La Ley Orgánica 11/2002 de 30 de marzo  , reguladora del Derecho de Asociación  ,publicada en el BOE núm. 73 , de 26 de marzo de 2002.</w:t>
      </w:r>
    </w:p>
    <w:p>
      <w:pPr>
        <w:pStyle w:val="Standard"/>
        <w:jc w:val="both"/>
        <w:rPr>
          <w:szCs w:val="22"/>
        </w:rPr>
      </w:pPr>
      <w:r>
        <w:rPr>
          <w:szCs w:val="22"/>
        </w:rPr>
      </w:r>
    </w:p>
    <w:p>
      <w:pPr>
        <w:pStyle w:val="Standard"/>
        <w:jc w:val="both"/>
        <w:rPr>
          <w:szCs w:val="22"/>
        </w:rPr>
      </w:pPr>
      <w:r>
        <w:rPr>
          <w:szCs w:val="22"/>
        </w:rPr>
      </w:r>
    </w:p>
    <w:p>
      <w:pPr>
        <w:pStyle w:val="Standard"/>
        <w:jc w:val="both"/>
        <w:rPr>
          <w:szCs w:val="22"/>
        </w:rPr>
      </w:pPr>
      <w:r>
        <w:rPr>
          <w:szCs w:val="22"/>
        </w:rPr>
        <w:t>18. El  Programa Erasmus+ es el programa de la Unión Europea en el ámbito de la educación, formación , la juventud  y el deporte que abarca  el período comprendido entre....?</w:t>
      </w:r>
    </w:p>
    <w:p>
      <w:pPr>
        <w:pStyle w:val="Standard"/>
        <w:jc w:val="both"/>
        <w:rPr>
          <w:szCs w:val="22"/>
        </w:rPr>
      </w:pPr>
      <w:r>
        <w:rPr>
          <w:szCs w:val="22"/>
        </w:rPr>
        <w:t>a) 2014-2020</w:t>
      </w:r>
    </w:p>
    <w:p>
      <w:pPr>
        <w:pStyle w:val="Standard"/>
        <w:jc w:val="both"/>
        <w:rPr>
          <w:b/>
          <w:b/>
          <w:bCs/>
          <w:szCs w:val="22"/>
        </w:rPr>
      </w:pPr>
      <w:r>
        <w:rPr>
          <w:b/>
          <w:bCs/>
          <w:szCs w:val="22"/>
        </w:rPr>
        <w:t xml:space="preserve">b) </w:t>
      </w:r>
      <w:r>
        <w:rPr>
          <w:b/>
          <w:bCs/>
          <w:szCs w:val="22"/>
          <w:u w:val="single"/>
        </w:rPr>
        <w:t>2021-2027</w:t>
      </w:r>
    </w:p>
    <w:p>
      <w:pPr>
        <w:pStyle w:val="Standard"/>
        <w:jc w:val="both"/>
        <w:rPr>
          <w:szCs w:val="22"/>
        </w:rPr>
      </w:pPr>
      <w:r>
        <w:rPr>
          <w:szCs w:val="22"/>
        </w:rPr>
        <w:t>c) 2019-2027</w:t>
      </w:r>
    </w:p>
    <w:p>
      <w:pPr>
        <w:pStyle w:val="Standard"/>
        <w:jc w:val="both"/>
        <w:rPr>
          <w:szCs w:val="22"/>
        </w:rPr>
      </w:pPr>
      <w:r>
        <w:rPr>
          <w:szCs w:val="22"/>
        </w:rPr>
        <w:t>d) 2014-2021</w:t>
      </w:r>
    </w:p>
    <w:p>
      <w:pPr>
        <w:pStyle w:val="Standard"/>
        <w:jc w:val="both"/>
        <w:rPr>
          <w:color w:val="686868"/>
          <w:szCs w:val="22"/>
        </w:rPr>
      </w:pPr>
      <w:r>
        <w:rPr>
          <w:color w:val="686868"/>
          <w:szCs w:val="22"/>
        </w:rPr>
      </w:r>
    </w:p>
    <w:p>
      <w:pPr>
        <w:pStyle w:val="Standard"/>
        <w:jc w:val="both"/>
        <w:rPr>
          <w:color w:val="686868"/>
          <w:szCs w:val="22"/>
        </w:rPr>
      </w:pPr>
      <w:r>
        <w:rPr>
          <w:color w:val="686868"/>
          <w:szCs w:val="22"/>
        </w:rPr>
      </w:r>
    </w:p>
    <w:p>
      <w:pPr>
        <w:pStyle w:val="Standard"/>
        <w:jc w:val="both"/>
        <w:rPr>
          <w:color w:val="686868"/>
          <w:szCs w:val="22"/>
        </w:rPr>
      </w:pPr>
      <w:r>
        <w:rPr>
          <w:color w:val="686868"/>
          <w:szCs w:val="22"/>
        </w:rPr>
      </w:r>
    </w:p>
    <w:p>
      <w:pPr>
        <w:pStyle w:val="Standard"/>
        <w:jc w:val="both"/>
        <w:rPr>
          <w:szCs w:val="22"/>
        </w:rPr>
      </w:pPr>
      <w:r>
        <w:rPr>
          <w:szCs w:val="22"/>
        </w:rPr>
        <w:t>19. La normativa que regula la formación en materia de animación juvenil en la Comunitat Valenciana es:</w:t>
      </w:r>
    </w:p>
    <w:p>
      <w:pPr>
        <w:pStyle w:val="Standard"/>
        <w:jc w:val="both"/>
        <w:rPr>
          <w:szCs w:val="22"/>
        </w:rPr>
      </w:pPr>
      <w:r>
        <w:rPr>
          <w:szCs w:val="22"/>
        </w:rPr>
      </w:r>
    </w:p>
    <w:p>
      <w:pPr>
        <w:pStyle w:val="Standard"/>
        <w:jc w:val="both"/>
        <w:rPr>
          <w:szCs w:val="22"/>
        </w:rPr>
      </w:pPr>
      <w:r>
        <w:rPr>
          <w:szCs w:val="22"/>
        </w:rPr>
        <w:t>a) RESOLUCIÓN de 15 de mayo de 2006, del director general del Institut Valencià de la Joventut, (DOGV núm. 5.286 de 22 de junio de 2006).</w:t>
      </w:r>
    </w:p>
    <w:p>
      <w:pPr>
        <w:pStyle w:val="Standard"/>
        <w:jc w:val="both"/>
        <w:rPr>
          <w:szCs w:val="22"/>
        </w:rPr>
      </w:pPr>
      <w:r>
        <w:rPr>
          <w:szCs w:val="22"/>
        </w:rPr>
        <w:t>b) ORDEN de 3 de febrero de 2006, de la Conselleria de Benestar Social, . (DOGV núm. 5.205, de 23 de febrero de 2006). </w:t>
      </w:r>
    </w:p>
    <w:p>
      <w:pPr>
        <w:pStyle w:val="Standard"/>
        <w:jc w:val="both"/>
        <w:rPr>
          <w:b/>
          <w:b/>
          <w:bCs/>
          <w:szCs w:val="22"/>
        </w:rPr>
      </w:pPr>
      <w:r>
        <w:rPr>
          <w:b/>
          <w:bCs/>
          <w:szCs w:val="22"/>
        </w:rPr>
        <w:t xml:space="preserve">c) </w:t>
      </w:r>
      <w:r>
        <w:rPr>
          <w:b/>
          <w:bCs/>
          <w:szCs w:val="22"/>
          <w:u w:val="single"/>
        </w:rPr>
        <w:t>DECRETO 60/2005 de 11 de marzo, del Consell de la Generalitat,  (DOGV núm. 4966, de 15 de marzo de 2005).</w:t>
      </w:r>
    </w:p>
    <w:p>
      <w:pPr>
        <w:pStyle w:val="Standard"/>
        <w:jc w:val="both"/>
        <w:rPr>
          <w:szCs w:val="22"/>
        </w:rPr>
      </w:pPr>
      <w:r>
        <w:rPr>
          <w:szCs w:val="22"/>
        </w:rPr>
        <w:t>d) DECRETO 86/2015, de 5 de junio, del Consell, por el que se desarrolla reglamentariamente la Ley 18/2010, de 30 de diciembre, de la Generalitat, de Juventud de la Comunitat Valenciana.</w:t>
      </w:r>
    </w:p>
    <w:p>
      <w:pPr>
        <w:pStyle w:val="Standard"/>
        <w:jc w:val="both"/>
        <w:rPr>
          <w:szCs w:val="22"/>
        </w:rPr>
      </w:pPr>
      <w:r>
        <w:rPr>
          <w:szCs w:val="22"/>
        </w:rPr>
      </w:r>
    </w:p>
    <w:p>
      <w:pPr>
        <w:pStyle w:val="Standard"/>
        <w:jc w:val="both"/>
        <w:rPr>
          <w:szCs w:val="22"/>
        </w:rPr>
      </w:pPr>
      <w:r>
        <w:rPr>
          <w:szCs w:val="22"/>
        </w:rPr>
      </w:r>
    </w:p>
    <w:p>
      <w:pPr>
        <w:pStyle w:val="Standard"/>
        <w:jc w:val="both"/>
        <w:rPr>
          <w:szCs w:val="22"/>
        </w:rPr>
      </w:pPr>
      <w:r>
        <w:rPr>
          <w:szCs w:val="22"/>
        </w:rPr>
        <w:t>20. ¿Cuál de los siguientes programas  pertenecen a la Agenda 2030  de Programas del INJUVE?</w:t>
      </w:r>
    </w:p>
    <w:p>
      <w:pPr>
        <w:pStyle w:val="Standard"/>
        <w:jc w:val="both"/>
        <w:rPr>
          <w:szCs w:val="22"/>
        </w:rPr>
      </w:pPr>
      <w:r>
        <w:rPr>
          <w:szCs w:val="22"/>
        </w:rPr>
      </w:r>
    </w:p>
    <w:p>
      <w:pPr>
        <w:pStyle w:val="Standard"/>
        <w:jc w:val="both"/>
        <w:rPr>
          <w:szCs w:val="22"/>
        </w:rPr>
      </w:pPr>
      <w:r>
        <w:rPr>
          <w:szCs w:val="22"/>
        </w:rPr>
        <w:t>a) No Hate.Derechos Humanos y Tolerancia</w:t>
      </w:r>
    </w:p>
    <w:p>
      <w:pPr>
        <w:pStyle w:val="Standard"/>
        <w:jc w:val="both"/>
        <w:rPr>
          <w:szCs w:val="22"/>
        </w:rPr>
      </w:pPr>
      <w:r>
        <w:rPr>
          <w:szCs w:val="22"/>
        </w:rPr>
        <w:t>b) Eurodesk</w:t>
      </w:r>
    </w:p>
    <w:p>
      <w:pPr>
        <w:pStyle w:val="Standard"/>
        <w:jc w:val="both"/>
        <w:rPr>
          <w:szCs w:val="22"/>
        </w:rPr>
      </w:pPr>
      <w:r>
        <w:rPr>
          <w:szCs w:val="22"/>
        </w:rPr>
        <w:t>c) Centro Eurolatinoamericano de Juventud</w:t>
      </w:r>
    </w:p>
    <w:p>
      <w:pPr>
        <w:pStyle w:val="Standard"/>
        <w:jc w:val="both"/>
        <w:rPr>
          <w:b/>
          <w:b/>
          <w:bCs/>
          <w:szCs w:val="22"/>
        </w:rPr>
      </w:pPr>
      <w:r>
        <w:rPr>
          <w:b/>
          <w:bCs/>
          <w:szCs w:val="22"/>
        </w:rPr>
        <w:t xml:space="preserve">d) </w:t>
      </w:r>
      <w:r>
        <w:rPr>
          <w:b/>
          <w:bCs/>
          <w:szCs w:val="22"/>
          <w:u w:val="single"/>
        </w:rPr>
        <w:t>Todas las respuestas anteriores son correctas.</w:t>
      </w:r>
    </w:p>
    <w:p>
      <w:pPr>
        <w:pStyle w:val="Standard"/>
        <w:jc w:val="both"/>
        <w:rPr>
          <w:b/>
          <w:b/>
          <w:bCs/>
          <w:szCs w:val="22"/>
        </w:rPr>
      </w:pPr>
      <w:r>
        <w:rPr>
          <w:b/>
          <w:bCs/>
          <w:szCs w:val="22"/>
        </w:rPr>
      </w:r>
    </w:p>
    <w:p>
      <w:pPr>
        <w:pStyle w:val="Standard"/>
        <w:jc w:val="both"/>
        <w:rPr>
          <w:szCs w:val="22"/>
        </w:rPr>
      </w:pPr>
      <w:r>
        <w:rPr>
          <w:szCs w:val="22"/>
        </w:rPr>
        <w:t>21. ¿Qué tipo de servicios de información juvenil no ofrece el IVAJ?</w:t>
      </w:r>
    </w:p>
    <w:p>
      <w:pPr>
        <w:pStyle w:val="Standard"/>
        <w:jc w:val="both"/>
        <w:rPr>
          <w:szCs w:val="22"/>
        </w:rPr>
      </w:pPr>
      <w:r>
        <w:rPr>
          <w:szCs w:val="22"/>
        </w:rPr>
      </w:r>
    </w:p>
    <w:p>
      <w:pPr>
        <w:pStyle w:val="Standard"/>
        <w:jc w:val="both"/>
        <w:rPr>
          <w:szCs w:val="22"/>
        </w:rPr>
      </w:pPr>
      <w:r>
        <w:rPr>
          <w:szCs w:val="22"/>
        </w:rPr>
        <w:t>a) Centros de Información Juvenil ( CIJ)</w:t>
      </w:r>
    </w:p>
    <w:p>
      <w:pPr>
        <w:pStyle w:val="Standard"/>
        <w:jc w:val="both"/>
        <w:rPr>
          <w:szCs w:val="22"/>
        </w:rPr>
      </w:pPr>
      <w:r>
        <w:rPr>
          <w:szCs w:val="22"/>
        </w:rPr>
        <w:t>b) Centros asociados de Información Juvenil ( CIJA)</w:t>
      </w:r>
    </w:p>
    <w:p>
      <w:pPr>
        <w:pStyle w:val="Standard"/>
        <w:jc w:val="both"/>
        <w:rPr>
          <w:b/>
          <w:b/>
          <w:bCs/>
          <w:szCs w:val="22"/>
        </w:rPr>
      </w:pPr>
      <w:r>
        <w:rPr>
          <w:b/>
          <w:bCs/>
          <w:szCs w:val="22"/>
        </w:rPr>
        <w:t xml:space="preserve">c) </w:t>
      </w:r>
      <w:r>
        <w:rPr>
          <w:b/>
          <w:bCs/>
          <w:szCs w:val="22"/>
          <w:u w:val="single"/>
        </w:rPr>
        <w:t>Puntos de Orientación Juvenil ( POJ)</w:t>
      </w:r>
    </w:p>
    <w:p>
      <w:pPr>
        <w:pStyle w:val="Standard"/>
        <w:jc w:val="both"/>
        <w:rPr>
          <w:szCs w:val="22"/>
        </w:rPr>
      </w:pPr>
      <w:r>
        <w:rPr>
          <w:szCs w:val="22"/>
        </w:rPr>
        <w:t>d) Asesorías o centros especializados (CIJE)</w:t>
      </w:r>
    </w:p>
    <w:p>
      <w:pPr>
        <w:pStyle w:val="Standard"/>
        <w:jc w:val="both"/>
        <w:rPr>
          <w:szCs w:val="22"/>
        </w:rPr>
      </w:pPr>
      <w:r>
        <w:rPr>
          <w:szCs w:val="22"/>
        </w:rPr>
      </w:r>
    </w:p>
    <w:p>
      <w:pPr>
        <w:pStyle w:val="Normal"/>
        <w:rPr>
          <w:rFonts w:cs="Arial"/>
        </w:rPr>
      </w:pPr>
      <w:r>
        <w:rPr>
          <w:rFonts w:cs="Arial"/>
        </w:rPr>
        <w:t>22. La participación juvenil</w:t>
      </w:r>
    </w:p>
    <w:p>
      <w:pPr>
        <w:pStyle w:val="ListParagraph"/>
        <w:numPr>
          <w:ilvl w:val="0"/>
          <w:numId w:val="5"/>
        </w:numPr>
        <w:rPr>
          <w:rFonts w:ascii="Arial" w:hAnsi="Arial" w:cs="Arial"/>
          <w:b/>
          <w:b/>
          <w:u w:val="single"/>
        </w:rPr>
      </w:pPr>
      <w:r>
        <w:rPr>
          <w:rFonts w:cs="Arial" w:ascii="Arial" w:hAnsi="Arial"/>
          <w:b/>
          <w:u w:val="single"/>
        </w:rPr>
        <w:t>Puede llevarse a cabo tanto individualmente como colectivamente, con igualdad de oportunidades, a través de entidades juveniles, grupos de jóvenes o consejos de juventud, y de una manera horizontal libre y democrática.</w:t>
      </w:r>
    </w:p>
    <w:p>
      <w:pPr>
        <w:pStyle w:val="ListParagraph"/>
        <w:numPr>
          <w:ilvl w:val="0"/>
          <w:numId w:val="5"/>
        </w:numPr>
        <w:rPr>
          <w:rFonts w:ascii="Arial" w:hAnsi="Arial" w:cs="Arial"/>
        </w:rPr>
      </w:pPr>
      <w:r>
        <w:rPr>
          <w:rFonts w:cs="Arial" w:ascii="Arial" w:hAnsi="Arial"/>
        </w:rPr>
        <w:t>Ha de viabilizarse a través de organizaciones legalizadas para ser referentes necesarios en el diseño de las políticas integrales de juventud.</w:t>
      </w:r>
    </w:p>
    <w:p>
      <w:pPr>
        <w:pStyle w:val="ListParagraph"/>
        <w:numPr>
          <w:ilvl w:val="0"/>
          <w:numId w:val="5"/>
        </w:numPr>
        <w:rPr>
          <w:rFonts w:ascii="Arial" w:hAnsi="Arial" w:cs="Arial"/>
        </w:rPr>
      </w:pPr>
      <w:r>
        <w:rPr>
          <w:rFonts w:cs="Arial" w:ascii="Arial" w:hAnsi="Arial"/>
        </w:rPr>
        <w:t>Es el conjunto de acciones que inciden en el entorno de los y las jóvenes y en sus relaciones, como herramientas para la construcción de las políticas públicas.</w:t>
      </w:r>
    </w:p>
    <w:p>
      <w:pPr>
        <w:pStyle w:val="ListParagraph"/>
        <w:numPr>
          <w:ilvl w:val="0"/>
          <w:numId w:val="5"/>
        </w:numPr>
        <w:rPr>
          <w:rFonts w:ascii="Arial" w:hAnsi="Arial" w:cs="Arial"/>
        </w:rPr>
      </w:pPr>
      <w:r>
        <w:rPr>
          <w:rFonts w:cs="Arial" w:ascii="Arial" w:hAnsi="Arial"/>
        </w:rPr>
        <w:t>Se fundamenta en el consejo valenciano de la juventud, los consejos locales de la juventud y los fórums joves</w:t>
      </w:r>
    </w:p>
    <w:p>
      <w:pPr>
        <w:pStyle w:val="Normal"/>
        <w:jc w:val="both"/>
        <w:rPr>
          <w:rFonts w:cs="Arial"/>
          <w:bCs/>
        </w:rPr>
      </w:pPr>
      <w:r>
        <w:rPr>
          <w:rFonts w:cs="Arial"/>
          <w:bCs/>
        </w:rPr>
        <w:t xml:space="preserve">23. Las áreas que se tienen que trabajar en la empresa para elaborar un Plan de Igualdad, señala la </w:t>
      </w:r>
      <w:r>
        <w:rPr>
          <w:rFonts w:cs="Arial"/>
          <w:bCs/>
          <w:u w:val="single"/>
        </w:rPr>
        <w:t>respuesta incorrecta:</w:t>
      </w:r>
    </w:p>
    <w:p>
      <w:pPr>
        <w:pStyle w:val="Normal"/>
        <w:jc w:val="both"/>
        <w:rPr>
          <w:rFonts w:cs="Arial"/>
        </w:rPr>
      </w:pPr>
      <w:r>
        <w:rPr>
          <w:rFonts w:cs="Arial"/>
        </w:rPr>
        <w:t>a) Área de acceso a la ocupación y contratación.</w:t>
      </w:r>
    </w:p>
    <w:p>
      <w:pPr>
        <w:pStyle w:val="Normal"/>
        <w:jc w:val="both"/>
        <w:rPr>
          <w:rFonts w:cs="Arial"/>
        </w:rPr>
      </w:pPr>
      <w:r>
        <w:rPr>
          <w:rFonts w:cs="Arial"/>
        </w:rPr>
        <w:t>b) Área de conciliación y corresponsabilidad.</w:t>
      </w:r>
    </w:p>
    <w:p>
      <w:pPr>
        <w:pStyle w:val="Normal"/>
        <w:jc w:val="both"/>
        <w:rPr>
          <w:rFonts w:cs="Arial"/>
          <w:b/>
          <w:b/>
          <w:u w:val="single"/>
        </w:rPr>
      </w:pPr>
      <w:r>
        <w:rPr>
          <w:rFonts w:cs="Arial"/>
          <w:b/>
          <w:u w:val="single"/>
        </w:rPr>
        <w:t xml:space="preserve">c) Área de vivienda de las empleadas.  </w:t>
      </w:r>
    </w:p>
    <w:p>
      <w:pPr>
        <w:pStyle w:val="Normal"/>
        <w:jc w:val="both"/>
        <w:rPr>
          <w:rFonts w:cs="Arial"/>
        </w:rPr>
      </w:pPr>
      <w:r>
        <w:rPr>
          <w:rFonts w:cs="Arial"/>
        </w:rPr>
        <w:t>d) Área de clasificación profesional, promoción, formación y representación femenina.</w:t>
      </w:r>
    </w:p>
    <w:p>
      <w:pPr>
        <w:pStyle w:val="Normal"/>
        <w:jc w:val="both"/>
        <w:rPr>
          <w:rFonts w:cs="Arial"/>
        </w:rPr>
      </w:pPr>
      <w:r>
        <w:rPr>
          <w:rFonts w:cs="Arial"/>
        </w:rPr>
      </w:r>
    </w:p>
    <w:p>
      <w:pPr>
        <w:pStyle w:val="Normal"/>
        <w:jc w:val="both"/>
        <w:rPr>
          <w:rFonts w:cs="Arial"/>
        </w:rPr>
      </w:pPr>
      <w:r>
        <w:rPr>
          <w:rFonts w:cs="Arial"/>
        </w:rPr>
      </w:r>
    </w:p>
    <w:p>
      <w:pPr>
        <w:pStyle w:val="Normal"/>
        <w:jc w:val="both"/>
        <w:rPr>
          <w:rFonts w:cs="Arial"/>
          <w:bCs/>
          <w:highlight w:val="white"/>
        </w:rPr>
      </w:pPr>
      <w:r>
        <w:rPr>
          <w:rFonts w:cs="Arial"/>
          <w:bCs/>
          <w:shd w:fill="FFFFFF" w:val="clear"/>
        </w:rPr>
        <w:t>24. El órgano competente para la evaluación y validación del visado del Plan de Igualdad en las empresas será:</w:t>
      </w:r>
    </w:p>
    <w:p>
      <w:pPr>
        <w:pStyle w:val="Normal"/>
        <w:jc w:val="both"/>
        <w:rPr>
          <w:rFonts w:cs="Arial"/>
        </w:rPr>
      </w:pPr>
      <w:r>
        <w:rPr>
          <w:rFonts w:cs="Arial"/>
          <w:shd w:fill="FFFFFF" w:val="clear"/>
        </w:rPr>
        <w:t>a) La Consellería de Vicepresidencia e Igualdad de Políticas Inclusivas.</w:t>
      </w:r>
    </w:p>
    <w:p>
      <w:pPr>
        <w:pStyle w:val="Normal"/>
        <w:jc w:val="both"/>
        <w:rPr>
          <w:rFonts w:cs="Arial"/>
        </w:rPr>
      </w:pPr>
      <w:r>
        <w:rPr>
          <w:rFonts w:cs="Arial"/>
          <w:b/>
          <w:u w:val="single"/>
          <w:shd w:fill="FFFFFF" w:val="clear"/>
        </w:rPr>
        <w:t>b) La Dirección General del Instituto Valenciano de las Mujeres e Igualdad de Género.</w:t>
      </w:r>
      <w:r>
        <w:rPr>
          <w:rFonts w:cs="Arial"/>
          <w:shd w:fill="FFFFFF" w:val="clear"/>
        </w:rPr>
        <w:t xml:space="preserve"> c) La Secretaría General de Igualdad.</w:t>
      </w:r>
    </w:p>
    <w:p>
      <w:pPr>
        <w:pStyle w:val="Normal"/>
        <w:jc w:val="both"/>
        <w:rPr>
          <w:rFonts w:cs="Arial"/>
        </w:rPr>
      </w:pPr>
      <w:r>
        <w:rPr>
          <w:rFonts w:cs="Arial"/>
        </w:rPr>
        <w:t xml:space="preserve">d) </w:t>
      </w:r>
      <w:r>
        <w:rPr>
          <w:rFonts w:cs="Arial"/>
          <w:shd w:fill="FFFFFF" w:val="clear"/>
        </w:rPr>
        <w:t xml:space="preserve">La </w:t>
      </w:r>
      <w:r>
        <w:rPr>
          <w:rFonts w:cs="Arial"/>
        </w:rPr>
        <w:t>Presidencia de la Generalitat Valenciana.</w:t>
      </w:r>
    </w:p>
    <w:p>
      <w:pPr>
        <w:pStyle w:val="ListParagraph"/>
        <w:jc w:val="both"/>
        <w:rPr>
          <w:rFonts w:ascii="Arial" w:hAnsi="Arial" w:cs="Arial"/>
        </w:rPr>
      </w:pPr>
      <w:r>
        <w:rPr>
          <w:rFonts w:cs="Arial" w:ascii="Arial" w:hAnsi="Arial"/>
        </w:rPr>
      </w:r>
    </w:p>
    <w:p>
      <w:pPr>
        <w:pStyle w:val="Normal"/>
        <w:jc w:val="both"/>
        <w:rPr>
          <w:rFonts w:cs="Arial"/>
          <w:bCs/>
        </w:rPr>
      </w:pPr>
      <w:r>
        <w:rPr>
          <w:rFonts w:cs="Arial"/>
          <w:bCs/>
        </w:rPr>
        <w:t xml:space="preserve">25. Las principales dimensiones del concepto de la coeducación se puede deducir que una propuesta, programa o proyecto tendría carácter coeducativo si cuenta con los siguientes aspectos, </w:t>
      </w:r>
      <w:r>
        <w:rPr>
          <w:rFonts w:cs="Arial"/>
          <w:bCs/>
          <w:u w:val="single"/>
        </w:rPr>
        <w:t>señala la respuesta incorrecta</w:t>
      </w:r>
      <w:r>
        <w:rPr>
          <w:rFonts w:cs="Arial"/>
          <w:bCs/>
        </w:rPr>
        <w:t>:</w:t>
      </w:r>
    </w:p>
    <w:p>
      <w:pPr>
        <w:pStyle w:val="Normal"/>
        <w:jc w:val="both"/>
        <w:rPr>
          <w:rFonts w:cs="Arial"/>
        </w:rPr>
      </w:pPr>
      <w:r>
        <w:rPr>
          <w:rFonts w:cs="Arial"/>
        </w:rPr>
        <w:t>a) El marco teórico en el que se sustenta está en la tradición de la teoría feminista.</w:t>
      </w:r>
    </w:p>
    <w:p>
      <w:pPr>
        <w:pStyle w:val="Normal"/>
        <w:jc w:val="both"/>
        <w:rPr>
          <w:rFonts w:cs="Arial"/>
        </w:rPr>
      </w:pPr>
      <w:r>
        <w:rPr>
          <w:rFonts w:cs="Arial"/>
        </w:rPr>
        <w:t xml:space="preserve">b) Se parte de la idea de que el entorno es sexista y no neutro. La escuela forma parte de este entorno y lo reproduce. Luego, no sólo el alumnado, sino también el profesorado, son sujetos de la coeducación, así como el propio modelo —el currículo escolar—. </w:t>
      </w:r>
    </w:p>
    <w:p>
      <w:pPr>
        <w:pStyle w:val="Normal"/>
        <w:jc w:val="both"/>
        <w:rPr>
          <w:rFonts w:cs="Arial"/>
        </w:rPr>
      </w:pPr>
      <w:r>
        <w:rPr>
          <w:rFonts w:cs="Arial"/>
        </w:rPr>
        <w:t>c) Se exige un currículo educativo renovado que incluya educación en valores como: igualdad, tolerancia, dialogo y resolución pacífica de conflictos y se tienen en cuenta otros espacios y agentes de socialización respecto a los que se ha de actuar más allá de la escuela.</w:t>
      </w:r>
    </w:p>
    <w:p>
      <w:pPr>
        <w:pStyle w:val="Normal"/>
        <w:jc w:val="both"/>
        <w:rPr>
          <w:rFonts w:cs="Arial"/>
          <w:b/>
          <w:b/>
          <w:u w:val="single"/>
        </w:rPr>
      </w:pPr>
      <w:r>
        <w:rPr>
          <w:rFonts w:cs="Arial"/>
        </w:rPr>
        <w:t xml:space="preserve"> </w:t>
      </w:r>
      <w:r>
        <w:rPr>
          <w:rFonts w:cs="Arial"/>
        </w:rPr>
        <w:t>d</w:t>
      </w:r>
      <w:r>
        <w:rPr>
          <w:rFonts w:cs="Arial"/>
          <w:b/>
          <w:u w:val="single"/>
        </w:rPr>
        <w:t>) La legitimidad de las actuaciones coeducativas por parte de las autoridades de las políticas públicas educativas.</w:t>
      </w:r>
    </w:p>
    <w:p>
      <w:pPr>
        <w:pStyle w:val="Normal"/>
        <w:jc w:val="both"/>
        <w:rPr>
          <w:rFonts w:cs="Arial"/>
        </w:rPr>
      </w:pPr>
      <w:r>
        <w:rPr>
          <w:rFonts w:cs="Arial"/>
        </w:rPr>
      </w:r>
      <w:bookmarkStart w:id="0" w:name="_Hlk89783324"/>
      <w:bookmarkStart w:id="1" w:name="_Hlk89783324"/>
      <w:bookmarkEnd w:id="1"/>
    </w:p>
    <w:p>
      <w:pPr>
        <w:pStyle w:val="Normal"/>
        <w:jc w:val="both"/>
        <w:rPr>
          <w:rFonts w:cs="Arial"/>
          <w:bCs/>
        </w:rPr>
      </w:pPr>
      <w:r>
        <w:rPr>
          <w:rFonts w:cs="Arial"/>
          <w:bCs/>
        </w:rPr>
        <w:t>26. La Ley 39/1999, de 5 de noviembre, para promover la conciliación de la vida familiar y laboral de las personas trabajadoras establece como novedades:</w:t>
      </w:r>
    </w:p>
    <w:p>
      <w:pPr>
        <w:pStyle w:val="Normal"/>
        <w:jc w:val="both"/>
        <w:rPr>
          <w:rFonts w:cs="Arial"/>
        </w:rPr>
      </w:pPr>
      <w:r>
        <w:rPr>
          <w:rFonts w:cs="Arial"/>
        </w:rPr>
        <w:t>a) Se facilita que los hombres puedan ser copartícipes del cuidado de sus hijos desde el mismo momento del nacimiento o de su incorporación a la familia.</w:t>
      </w:r>
    </w:p>
    <w:p>
      <w:pPr>
        <w:pStyle w:val="Normal"/>
        <w:jc w:val="both"/>
        <w:rPr>
          <w:rFonts w:cs="Arial"/>
        </w:rPr>
      </w:pPr>
      <w:r>
        <w:rPr>
          <w:rFonts w:cs="Arial"/>
        </w:rPr>
        <w:t>b) Facilita a los hombres el acceso al cuidado del hijo desde el momento de su nacimiento o de su incorporación a la familia, al conceder a la mujer la opción de que sea el padre el que disfrute hasta un máximo de diez semanas de las dieciséis correspondientes al permiso por maternidad, permitiendo además que lo disfrute simultáneamente con la madre y se amplía el permiso de maternidad en dos semanas más por cada hijo en el caso de parto múltiple.</w:t>
      </w:r>
    </w:p>
    <w:p>
      <w:pPr>
        <w:pStyle w:val="Normal"/>
        <w:jc w:val="both"/>
        <w:rPr>
          <w:rFonts w:cs="Arial"/>
        </w:rPr>
      </w:pPr>
      <w:r>
        <w:rPr>
          <w:rFonts w:cs="Arial"/>
        </w:rPr>
        <w:t>c) Se establece la aplicación de la reducción de la jornada o excedencia para atender al cuidado de familiares que por razón de edad, accidente o enfermedad no puedan valerse por sí mismos y no desempeñen actividad retribuida, configurándose este derecho como individual de los trabajadores.</w:t>
      </w:r>
    </w:p>
    <w:p>
      <w:pPr>
        <w:pStyle w:val="Normal"/>
        <w:jc w:val="both"/>
        <w:rPr>
          <w:rFonts w:cs="Arial"/>
          <w:b/>
          <w:b/>
          <w:u w:val="single"/>
        </w:rPr>
      </w:pPr>
      <w:r>
        <w:rPr>
          <w:rFonts w:cs="Arial"/>
          <w:b/>
          <w:u w:val="single"/>
        </w:rPr>
        <w:t xml:space="preserve">d) Todas las respuestas son correctas.  </w:t>
      </w:r>
    </w:p>
    <w:p>
      <w:pPr>
        <w:pStyle w:val="Normal"/>
        <w:jc w:val="both"/>
        <w:rPr>
          <w:rFonts w:cs="Arial"/>
        </w:rPr>
      </w:pPr>
      <w:r>
        <w:rPr>
          <w:rFonts w:cs="Arial"/>
        </w:rPr>
      </w:r>
    </w:p>
    <w:p>
      <w:pPr>
        <w:pStyle w:val="Normal"/>
        <w:jc w:val="both"/>
        <w:rPr>
          <w:rFonts w:cs="Arial"/>
          <w:bCs/>
        </w:rPr>
      </w:pPr>
      <w:r>
        <w:rPr>
          <w:rFonts w:cs="Arial"/>
          <w:bCs/>
        </w:rPr>
        <w:t xml:space="preserve">27. La Ley 39/1999, de 5 de noviembre, para promover la conciliación de la vida familiar y laboral de las personas trabajadoras establece en el artículo 2 la reducción de la jornada por motivos familiares. </w:t>
      </w:r>
      <w:r>
        <w:rPr>
          <w:rFonts w:cs="Arial"/>
          <w:bCs/>
          <w:u w:val="single"/>
        </w:rPr>
        <w:t>Señala la respuesta correcta:</w:t>
      </w:r>
    </w:p>
    <w:p>
      <w:pPr>
        <w:pStyle w:val="Normal"/>
        <w:jc w:val="both"/>
        <w:rPr>
          <w:rFonts w:cs="Arial"/>
        </w:rPr>
      </w:pPr>
      <w:r>
        <w:rPr>
          <w:rFonts w:cs="Arial"/>
        </w:rPr>
        <w:t xml:space="preserve">a) Las trabajadoras, por lactancia de un hijo menor de nueve meses, tendrán derecho a una hora de ausencia del trabajo, que podrán dividir en dos fracciones. </w:t>
      </w:r>
    </w:p>
    <w:p>
      <w:pPr>
        <w:pStyle w:val="Normal"/>
        <w:jc w:val="both"/>
        <w:rPr>
          <w:rFonts w:cs="Arial"/>
        </w:rPr>
      </w:pPr>
      <w:r>
        <w:rPr>
          <w:rFonts w:cs="Arial"/>
        </w:rPr>
        <w:t xml:space="preserve">b) La mujer, por su voluntad, podrá sustituir este derecho por una reducción de su jornada en media hora con la misma finalidad. </w:t>
      </w:r>
    </w:p>
    <w:p>
      <w:pPr>
        <w:pStyle w:val="Normal"/>
        <w:jc w:val="both"/>
        <w:rPr>
          <w:rFonts w:cs="Arial"/>
        </w:rPr>
      </w:pPr>
      <w:r>
        <w:rPr>
          <w:rFonts w:cs="Arial"/>
        </w:rPr>
        <w:t>c) Este permiso podrá ser disfrutado indistintamente por la madre o el padre, aunque el padre no trabaje.</w:t>
      </w:r>
    </w:p>
    <w:p>
      <w:pPr>
        <w:pStyle w:val="Normal"/>
        <w:jc w:val="both"/>
        <w:rPr>
          <w:rFonts w:cs="Arial"/>
          <w:b/>
          <w:b/>
          <w:u w:val="single"/>
        </w:rPr>
      </w:pPr>
      <w:r>
        <w:rPr>
          <w:rFonts w:cs="Arial"/>
          <w:b/>
          <w:u w:val="single"/>
        </w:rPr>
        <w:t xml:space="preserve">d) La respuesta a) y b) son correctas.  </w:t>
      </w:r>
    </w:p>
    <w:p>
      <w:pPr>
        <w:pStyle w:val="Normal"/>
        <w:jc w:val="both"/>
        <w:rPr>
          <w:rFonts w:cs="Arial"/>
        </w:rPr>
      </w:pPr>
      <w:r>
        <w:rPr>
          <w:rFonts w:cs="Arial"/>
        </w:rPr>
      </w:r>
    </w:p>
    <w:p>
      <w:pPr>
        <w:pStyle w:val="Normal"/>
        <w:jc w:val="both"/>
        <w:rPr>
          <w:rFonts w:cs="Arial"/>
          <w:bCs/>
        </w:rPr>
      </w:pPr>
      <w:r>
        <w:rPr>
          <w:rFonts w:cs="Arial"/>
          <w:bCs/>
        </w:rPr>
      </w:r>
    </w:p>
    <w:p>
      <w:pPr>
        <w:pStyle w:val="Normal"/>
        <w:jc w:val="both"/>
        <w:rPr>
          <w:rFonts w:cs="Arial"/>
          <w:bCs/>
        </w:rPr>
      </w:pPr>
      <w:r>
        <w:rPr>
          <w:rFonts w:cs="Arial"/>
          <w:bCs/>
        </w:rPr>
      </w:r>
    </w:p>
    <w:p>
      <w:pPr>
        <w:pStyle w:val="Normal"/>
        <w:jc w:val="both"/>
        <w:rPr>
          <w:rFonts w:cs="Arial"/>
          <w:bCs/>
        </w:rPr>
      </w:pPr>
      <w:r>
        <w:rPr>
          <w:rFonts w:cs="Arial"/>
          <w:bCs/>
        </w:rPr>
        <w:t>28. Se proponen como buenas prácticas para una comunicación no sexista las siguientes estrategias:</w:t>
      </w:r>
    </w:p>
    <w:p>
      <w:pPr>
        <w:pStyle w:val="Normal"/>
        <w:jc w:val="both"/>
        <w:rPr>
          <w:rFonts w:cs="Arial"/>
        </w:rPr>
      </w:pPr>
      <w:r>
        <w:rPr>
          <w:rFonts w:cs="Arial"/>
        </w:rPr>
        <w:t>a) Uso de colectivos, genéricos o construcciones impersonales para referirnos a ambos sexos:</w:t>
      </w:r>
    </w:p>
    <w:p>
      <w:pPr>
        <w:pStyle w:val="Normal"/>
        <w:jc w:val="both"/>
        <w:rPr>
          <w:rFonts w:cs="Arial"/>
        </w:rPr>
      </w:pPr>
      <w:r>
        <w:rPr>
          <w:rFonts w:cs="Arial"/>
        </w:rPr>
        <w:t>b) La utilización de la arroba [@] es un recurso informal no admisible en una comunicación normativa. Su uso queda restringido a medios o comunicaciones informales: sms, WhatsApp, correo-e informal. tod@s, ell@s, algún@s.</w:t>
      </w:r>
    </w:p>
    <w:p>
      <w:pPr>
        <w:pStyle w:val="Normal"/>
        <w:jc w:val="both"/>
        <w:rPr>
          <w:rFonts w:cs="Arial"/>
        </w:rPr>
      </w:pPr>
      <w:r>
        <w:rPr>
          <w:rFonts w:cs="Arial"/>
        </w:rPr>
        <w:t>c) Uso de las dobles formas (los y las, ellas y ellos) debe estar restringido a los supuestos en los que haya que evitar toda ambigüedad. Se incorpora fácilmente a la expresión oral pero no siempre es apropiado en un escrito de carácter formal.</w:t>
      </w:r>
    </w:p>
    <w:p>
      <w:pPr>
        <w:pStyle w:val="Normal"/>
        <w:jc w:val="both"/>
        <w:rPr>
          <w:rFonts w:cs="Arial"/>
          <w:b/>
          <w:b/>
          <w:u w:val="single"/>
        </w:rPr>
      </w:pPr>
      <w:r>
        <w:rPr>
          <w:rFonts w:cs="Arial"/>
          <w:b/>
          <w:u w:val="single"/>
        </w:rPr>
        <w:t>d) Todas las respuestas son correctas.</w:t>
      </w:r>
    </w:p>
    <w:p>
      <w:pPr>
        <w:pStyle w:val="Normal"/>
        <w:jc w:val="both"/>
        <w:rPr>
          <w:rFonts w:cs="Arial"/>
        </w:rPr>
      </w:pPr>
      <w:r>
        <w:rPr>
          <w:rFonts w:cs="Arial"/>
        </w:rPr>
      </w:r>
    </w:p>
    <w:p>
      <w:pPr>
        <w:pStyle w:val="Normal"/>
        <w:jc w:val="both"/>
        <w:rPr>
          <w:rFonts w:cs="Arial"/>
          <w:bCs/>
        </w:rPr>
      </w:pPr>
      <w:r>
        <w:rPr>
          <w:rFonts w:cs="Arial"/>
          <w:bCs/>
        </w:rPr>
        <w:t>29. Para un uso inclusivo y no sexista del lenguaje visual no se recomienda:</w:t>
      </w:r>
    </w:p>
    <w:p>
      <w:pPr>
        <w:pStyle w:val="Normal"/>
        <w:jc w:val="both"/>
        <w:rPr>
          <w:rFonts w:cs="Arial"/>
        </w:rPr>
      </w:pPr>
      <w:r>
        <w:rPr>
          <w:rFonts w:cs="Arial"/>
        </w:rPr>
        <w:t xml:space="preserve">a) Mostrar a la Mujer en imágenes que hacen referencia al conjunto social o a </w:t>
      </w:r>
    </w:p>
    <w:p>
      <w:pPr>
        <w:pStyle w:val="Normal"/>
        <w:jc w:val="both"/>
        <w:rPr>
          <w:rFonts w:cs="Arial"/>
        </w:rPr>
      </w:pPr>
      <w:r>
        <w:rPr>
          <w:rFonts w:cs="Arial"/>
        </w:rPr>
        <w:t>actividades y ámbitos alejados de sus roles tradicionales de género.</w:t>
      </w:r>
    </w:p>
    <w:p>
      <w:pPr>
        <w:pStyle w:val="Normal"/>
        <w:jc w:val="both"/>
        <w:rPr>
          <w:rFonts w:cs="Arial"/>
          <w:b/>
          <w:b/>
          <w:u w:val="single"/>
        </w:rPr>
      </w:pPr>
      <w:r>
        <w:rPr>
          <w:rFonts w:cs="Arial"/>
        </w:rPr>
        <w:t xml:space="preserve">b) </w:t>
      </w:r>
      <w:r>
        <w:rPr>
          <w:rFonts w:cs="Arial"/>
          <w:b/>
          <w:u w:val="single"/>
        </w:rPr>
        <w:t>Resaltar la aparición y tamaño de las figuras femeninas frente a las masculinas</w:t>
      </w:r>
    </w:p>
    <w:p>
      <w:pPr>
        <w:pStyle w:val="Normal"/>
        <w:jc w:val="both"/>
        <w:rPr>
          <w:rFonts w:cs="Arial"/>
        </w:rPr>
      </w:pPr>
      <w:r>
        <w:rPr>
          <w:rFonts w:cs="Arial"/>
          <w:b/>
          <w:u w:val="single"/>
        </w:rPr>
        <w:t xml:space="preserve">(conjunto o sucesión de imágenes en las que mujeres resaltan frente a la de los hombres en la misma actividad y alternativamente). </w:t>
        <w:tab/>
      </w:r>
      <w:r>
        <w:rPr>
          <w:rFonts w:cs="Arial"/>
        </w:rPr>
        <w:tab/>
        <w:tab/>
        <w:tab/>
      </w:r>
    </w:p>
    <w:p>
      <w:pPr>
        <w:pStyle w:val="Normal"/>
        <w:jc w:val="both"/>
        <w:rPr>
          <w:rFonts w:cs="Arial"/>
        </w:rPr>
      </w:pPr>
      <w:r>
        <w:rPr>
          <w:rFonts w:cs="Arial"/>
        </w:rPr>
        <w:t>c) Ordenar equilibradamente la posición de las figuras femeninas y masculinas en la imagen:(no situar a las mujeres en segundo plano, mostrarlas en un papel activo y conjunto con las figuras masculinas)</w:t>
      </w:r>
    </w:p>
    <w:p>
      <w:pPr>
        <w:pStyle w:val="Normal"/>
        <w:jc w:val="both"/>
        <w:rPr>
          <w:rFonts w:cs="Arial"/>
        </w:rPr>
      </w:pPr>
      <w:r>
        <w:rPr>
          <w:rFonts w:cs="Arial"/>
        </w:rPr>
        <w:t>d) Representar la diversidad cultural, edad, físico...(Utilizar imágenes de personas de diferente edad, sexo, físico…)</w:t>
      </w:r>
    </w:p>
    <w:p>
      <w:pPr>
        <w:pStyle w:val="Normal"/>
        <w:ind w:left="360" w:hanging="0"/>
        <w:jc w:val="both"/>
        <w:rPr>
          <w:rFonts w:cs="Arial"/>
        </w:rPr>
      </w:pPr>
      <w:r>
        <w:rPr>
          <w:rFonts w:cs="Arial"/>
        </w:rPr>
      </w:r>
    </w:p>
    <w:p>
      <w:pPr>
        <w:pStyle w:val="Default"/>
        <w:jc w:val="both"/>
        <w:rPr>
          <w:rFonts w:ascii="Arial" w:hAnsi="Arial" w:cs="Arial"/>
          <w:bCs/>
          <w:sz w:val="22"/>
          <w:szCs w:val="22"/>
        </w:rPr>
      </w:pPr>
      <w:r>
        <w:rPr>
          <w:rFonts w:cs="Arial" w:ascii="Arial" w:hAnsi="Arial"/>
          <w:bCs/>
          <w:sz w:val="22"/>
          <w:szCs w:val="22"/>
        </w:rPr>
        <w:t xml:space="preserve">30. La Ley Orgánica 1/2004, de 28 de diciembre, de Medidas de Protección Integral contra la Violencia de Género, establece en su artículo 1 el Objeto de la Ley: cual de estos enunciados </w:t>
      </w:r>
      <w:r>
        <w:rPr>
          <w:rFonts w:cs="Arial" w:ascii="Arial" w:hAnsi="Arial"/>
          <w:bCs/>
          <w:sz w:val="22"/>
          <w:szCs w:val="22"/>
          <w:u w:val="single"/>
        </w:rPr>
        <w:t>es incorrecto</w:t>
      </w:r>
      <w:r>
        <w:rPr>
          <w:rFonts w:cs="Arial" w:ascii="Arial" w:hAnsi="Arial"/>
          <w:bCs/>
          <w:sz w:val="22"/>
          <w:szCs w:val="22"/>
        </w:rPr>
        <w:t>:</w:t>
      </w:r>
    </w:p>
    <w:p>
      <w:pPr>
        <w:pStyle w:val="Normal"/>
        <w:jc w:val="both"/>
        <w:rPr>
          <w:rFonts w:cs="Arial"/>
          <w:color w:val="000000"/>
        </w:rPr>
      </w:pPr>
      <w:r>
        <w:rPr>
          <w:rFonts w:cs="Arial"/>
          <w:color w:val="000000"/>
        </w:rPr>
      </w:r>
    </w:p>
    <w:p>
      <w:pPr>
        <w:pStyle w:val="Normal"/>
        <w:ind w:firstLine="708"/>
        <w:jc w:val="both"/>
        <w:rPr>
          <w:rFonts w:cs="Arial"/>
          <w:color w:val="000000"/>
        </w:rPr>
      </w:pPr>
      <w:r>
        <w:rPr>
          <w:rFonts w:cs="Arial"/>
          <w:color w:val="000000"/>
        </w:rPr>
        <w:t>a) La presente Ley tiene por objeto actuar contra la violencia que, como manifestación de la discriminación, la situación de desigualdad y las relaciones de poder de los hombres sobre las mujeres, se ejerce sobre éstas por parte de quienes sean o hayan sido sus cónyuges o de quienes estén o hayan estado ligados a ellas por relaciones similares de afectividad, aun sin convivencia.</w:t>
      </w:r>
    </w:p>
    <w:p>
      <w:pPr>
        <w:pStyle w:val="Normal"/>
        <w:ind w:firstLine="708"/>
        <w:jc w:val="both"/>
        <w:rPr>
          <w:rFonts w:cs="Arial"/>
          <w:color w:val="000000"/>
        </w:rPr>
      </w:pPr>
      <w:r>
        <w:rPr>
          <w:rFonts w:cs="Arial"/>
          <w:color w:val="000000"/>
        </w:rPr>
        <w:t>b). Por esta ley se establecen medidas de protección integral cuya finalidad es prevenir, sancionar y erradicar esta violencia y prestar asistencia a las mujeres, a sus hijos menores y a los menores sujetos a su tutela, o guarda y custodia, víctimas de esta violencia.</w:t>
      </w:r>
    </w:p>
    <w:p>
      <w:pPr>
        <w:pStyle w:val="Normal"/>
        <w:ind w:firstLine="708"/>
        <w:jc w:val="both"/>
        <w:rPr>
          <w:rFonts w:cs="Arial"/>
          <w:color w:val="000000"/>
        </w:rPr>
      </w:pPr>
      <w:r>
        <w:rPr>
          <w:rFonts w:cs="Arial"/>
          <w:color w:val="000000"/>
        </w:rPr>
        <w:t>c) La violencia de género a que se refiere la presente Ley comprende todo acto de violencia física y psicológica, incluidas las agresiones a la libertad sexual, las amenazas, las coacciones o la privación arbitraria de libertad.</w:t>
      </w:r>
    </w:p>
    <w:p>
      <w:pPr>
        <w:pStyle w:val="Normal"/>
        <w:ind w:firstLine="708"/>
        <w:jc w:val="both"/>
        <w:rPr>
          <w:rFonts w:cs="Arial"/>
          <w:color w:val="000000"/>
        </w:rPr>
      </w:pPr>
      <w:r>
        <w:rPr>
          <w:rFonts w:cs="Arial"/>
          <w:color w:val="000000"/>
        </w:rPr>
        <w:t xml:space="preserve">d) </w:t>
      </w:r>
      <w:r>
        <w:rPr>
          <w:rFonts w:cs="Arial"/>
          <w:b/>
          <w:u w:val="single"/>
        </w:rPr>
        <w:t>La violencia de género a que se refiere esta Ley no contempla la violencia que con el objetivo de causar perjuicio o daño a las mujeres se ejerza sobre sus familiares o allegados menores de edad por parte de las personas indicadas en el apartado primero.</w:t>
      </w:r>
      <w:r>
        <w:rPr>
          <w:rFonts w:cs="Arial"/>
          <w:color w:val="000000"/>
        </w:rPr>
        <w:t xml:space="preserve"> </w:t>
      </w:r>
    </w:p>
    <w:p>
      <w:pPr>
        <w:pStyle w:val="Normal"/>
        <w:ind w:firstLine="708"/>
        <w:jc w:val="both"/>
        <w:rPr>
          <w:rFonts w:cs="Arial"/>
          <w:color w:val="000000"/>
        </w:rPr>
      </w:pPr>
      <w:r>
        <w:rPr>
          <w:rFonts w:cs="Arial"/>
          <w:color w:val="000000"/>
        </w:rPr>
      </w:r>
    </w:p>
    <w:p>
      <w:pPr>
        <w:pStyle w:val="Normal"/>
        <w:jc w:val="both"/>
        <w:rPr>
          <w:rFonts w:cs="Arial"/>
          <w:bCs/>
        </w:rPr>
      </w:pPr>
      <w:r>
        <w:rPr>
          <w:rFonts w:cs="Arial"/>
          <w:bCs/>
        </w:rPr>
        <w:t>31. Según la Ley 7/2012, de 23 de noviembre, integral contra la violencia sobre la mujer en el ámbito de la Comunitat Valenciana, establece medidas de prevención de la violencia de la mujer</w:t>
      </w:r>
      <w:r>
        <w:rPr>
          <w:rFonts w:cs="Arial"/>
          <w:bCs/>
          <w:u w:val="single"/>
        </w:rPr>
        <w:t>. Indica la medida incorrecta</w:t>
      </w:r>
      <w:r>
        <w:rPr>
          <w:rFonts w:cs="Arial"/>
          <w:bCs/>
        </w:rPr>
        <w:t>:</w:t>
      </w:r>
    </w:p>
    <w:p>
      <w:pPr>
        <w:pStyle w:val="Normal"/>
        <w:jc w:val="both"/>
        <w:rPr>
          <w:rFonts w:cs="Arial"/>
        </w:rPr>
      </w:pPr>
      <w:r>
        <w:rPr>
          <w:rFonts w:cs="Arial"/>
        </w:rPr>
        <w:t>a) Medidas de prevención en el ámbito educativo.</w:t>
      </w:r>
    </w:p>
    <w:p>
      <w:pPr>
        <w:pStyle w:val="Normal"/>
        <w:jc w:val="both"/>
        <w:rPr>
          <w:rFonts w:cs="Arial"/>
        </w:rPr>
      </w:pPr>
      <w:r>
        <w:rPr>
          <w:rFonts w:cs="Arial"/>
        </w:rPr>
        <w:t>b) Medidas de prevención en el ámbito laboral.</w:t>
      </w:r>
    </w:p>
    <w:p>
      <w:pPr>
        <w:pStyle w:val="Normal"/>
        <w:jc w:val="both"/>
        <w:rPr>
          <w:rFonts w:cs="Arial"/>
        </w:rPr>
      </w:pPr>
      <w:r>
        <w:rPr>
          <w:rFonts w:cs="Arial"/>
        </w:rPr>
        <w:t>c) Medidas de prevención de conductas violentas.</w:t>
      </w:r>
    </w:p>
    <w:p>
      <w:pPr>
        <w:pStyle w:val="Normal"/>
        <w:jc w:val="both"/>
        <w:rPr>
          <w:rFonts w:cs="Arial"/>
          <w:b/>
          <w:b/>
          <w:u w:val="single"/>
        </w:rPr>
      </w:pPr>
      <w:r>
        <w:rPr>
          <w:rFonts w:cs="Arial"/>
          <w:b/>
          <w:u w:val="single"/>
        </w:rPr>
        <w:t xml:space="preserve">d) Medidas de prestaciones económicas para mujeres.   </w:t>
      </w:r>
    </w:p>
    <w:p>
      <w:pPr>
        <w:pStyle w:val="Normal"/>
        <w:jc w:val="both"/>
        <w:rPr>
          <w:rFonts w:cs="Arial"/>
        </w:rPr>
      </w:pPr>
      <w:r>
        <w:rPr>
          <w:rFonts w:cs="Arial"/>
        </w:rPr>
      </w:r>
    </w:p>
    <w:p>
      <w:pPr>
        <w:pStyle w:val="Normal"/>
        <w:jc w:val="both"/>
        <w:rPr>
          <w:rFonts w:cs="Arial"/>
        </w:rPr>
      </w:pPr>
      <w:r>
        <w:rPr>
          <w:rFonts w:cs="Arial"/>
        </w:rPr>
        <w:t xml:space="preserve"> </w:t>
      </w:r>
    </w:p>
    <w:p>
      <w:pPr>
        <w:pStyle w:val="Normal"/>
        <w:jc w:val="both"/>
        <w:rPr>
          <w:rFonts w:cs="Arial"/>
          <w:b/>
          <w:b/>
          <w:bCs/>
        </w:rPr>
      </w:pPr>
      <w:r>
        <w:rPr>
          <w:rFonts w:cs="Arial"/>
          <w:b/>
          <w:bCs/>
        </w:rPr>
      </w:r>
    </w:p>
    <w:p>
      <w:pPr>
        <w:pStyle w:val="Default"/>
        <w:jc w:val="both"/>
        <w:rPr>
          <w:rFonts w:ascii="Arial" w:hAnsi="Arial" w:cs="Arial"/>
          <w:bCs/>
          <w:sz w:val="22"/>
          <w:szCs w:val="22"/>
        </w:rPr>
      </w:pPr>
      <w:r>
        <w:rPr>
          <w:rFonts w:cs="Arial" w:ascii="Arial" w:hAnsi="Arial"/>
          <w:bCs/>
          <w:sz w:val="22"/>
          <w:szCs w:val="22"/>
        </w:rPr>
        <w:t xml:space="preserve">32. La Ley Orgánica 3/2007, de 22 de marzo, para la igualdad efectiva de mujeres y hombres establece “la Igualdad de trato y de oportunidades en el acceso al empleo, en la formación y en la promoción profesionales, y en las condiciones de trabajo”. Señala la </w:t>
      </w:r>
      <w:r>
        <w:rPr>
          <w:rFonts w:cs="Arial" w:ascii="Arial" w:hAnsi="Arial"/>
          <w:bCs/>
          <w:sz w:val="22"/>
          <w:szCs w:val="22"/>
          <w:u w:val="single"/>
        </w:rPr>
        <w:t>respuesta incorrecta</w:t>
      </w:r>
      <w:r>
        <w:rPr>
          <w:rFonts w:cs="Arial" w:ascii="Arial" w:hAnsi="Arial"/>
          <w:bCs/>
          <w:sz w:val="22"/>
          <w:szCs w:val="22"/>
        </w:rPr>
        <w:t>:</w:t>
      </w:r>
    </w:p>
    <w:p>
      <w:pPr>
        <w:pStyle w:val="Default"/>
        <w:jc w:val="both"/>
        <w:rPr>
          <w:rFonts w:ascii="Arial" w:hAnsi="Arial" w:cs="Arial"/>
          <w:b/>
          <w:b/>
          <w:bCs/>
          <w:i/>
          <w:i/>
          <w:iCs/>
          <w:sz w:val="22"/>
          <w:szCs w:val="22"/>
        </w:rPr>
      </w:pPr>
      <w:r>
        <w:rPr>
          <w:rFonts w:cs="Arial" w:ascii="Arial" w:hAnsi="Arial"/>
          <w:b/>
          <w:bCs/>
          <w:i/>
          <w:iCs/>
          <w:sz w:val="22"/>
          <w:szCs w:val="22"/>
        </w:rPr>
      </w:r>
    </w:p>
    <w:p>
      <w:pPr>
        <w:pStyle w:val="Normal"/>
        <w:jc w:val="both"/>
        <w:rPr>
          <w:rFonts w:cs="Arial"/>
          <w:color w:val="000000"/>
        </w:rPr>
      </w:pPr>
      <w:r>
        <w:rPr>
          <w:rFonts w:cs="Arial"/>
          <w:color w:val="000000"/>
        </w:rPr>
        <w:t>a) El principio de igualdad de trato y de oportunidades entre mujeres y hombres, aplicable en el ámbito del empleo privado y en el del empleo público.</w:t>
      </w:r>
    </w:p>
    <w:p>
      <w:pPr>
        <w:pStyle w:val="Normal"/>
        <w:jc w:val="both"/>
        <w:rPr>
          <w:rFonts w:cs="Arial"/>
          <w:color w:val="000000"/>
        </w:rPr>
      </w:pPr>
      <w:r>
        <w:rPr>
          <w:rFonts w:cs="Arial"/>
          <w:color w:val="000000"/>
        </w:rPr>
      </w:r>
    </w:p>
    <w:p>
      <w:pPr>
        <w:pStyle w:val="Normal"/>
        <w:jc w:val="both"/>
        <w:rPr>
          <w:rFonts w:cs="Arial"/>
          <w:color w:val="000000"/>
        </w:rPr>
      </w:pPr>
      <w:r>
        <w:rPr>
          <w:rFonts w:cs="Arial"/>
          <w:color w:val="000000"/>
        </w:rPr>
        <w:t xml:space="preserve"> </w:t>
      </w:r>
      <w:r>
        <w:rPr>
          <w:rFonts w:cs="Arial"/>
          <w:color w:val="000000"/>
        </w:rPr>
        <w:t>b) Se garantizará, en los términos previstos en la normativa aplicable, en el acceso al empleo, incluso al trabajo por cuenta propia, en la formación profesional, en la promoción profesional, en las condiciones de trabajo, incluidas las retributivas y las de despido, y en la afiliación y participación en las organizaciones sindicales y empresariales, o en cualquier organización cuyos miembros ejerzan una profesión concreta, incluidas las prestaciones concedidas por las mismas.</w:t>
      </w:r>
    </w:p>
    <w:p>
      <w:pPr>
        <w:pStyle w:val="Normal"/>
        <w:jc w:val="both"/>
        <w:rPr>
          <w:rFonts w:cs="Arial"/>
          <w:color w:val="000000"/>
        </w:rPr>
      </w:pPr>
      <w:r>
        <w:rPr>
          <w:rFonts w:cs="Arial"/>
          <w:color w:val="000000"/>
        </w:rPr>
      </w:r>
    </w:p>
    <w:p>
      <w:pPr>
        <w:pStyle w:val="Default"/>
        <w:jc w:val="both"/>
        <w:rPr>
          <w:rFonts w:ascii="Arial" w:hAnsi="Arial" w:cs="Arial"/>
          <w:sz w:val="22"/>
          <w:szCs w:val="22"/>
        </w:rPr>
      </w:pPr>
      <w:r>
        <w:rPr>
          <w:rFonts w:cs="Arial" w:ascii="Arial" w:hAnsi="Arial"/>
          <w:sz w:val="22"/>
          <w:szCs w:val="22"/>
        </w:rPr>
      </w:r>
    </w:p>
    <w:p>
      <w:pPr>
        <w:pStyle w:val="Normal"/>
        <w:jc w:val="both"/>
        <w:rPr>
          <w:rFonts w:cs="Arial"/>
          <w:color w:val="000000"/>
        </w:rPr>
      </w:pPr>
      <w:r>
        <w:rPr>
          <w:rFonts w:cs="Arial"/>
        </w:rPr>
        <w:t>c) Las políticas de empleo tendrán como uno de sus objetivos prioritarios aumentar la participación de las mujeres en el mercado de trabajo y avanzar en la igualdad efectiva entre mujeres y hombres. Para ello, se mejorará la empleabilidad y la permanencia en el empleo de las mujeres, potenciando su nivel formativo y su adaptabilidad a los requerimientos del mercado de trabajo</w:t>
      </w:r>
    </w:p>
    <w:p>
      <w:pPr>
        <w:pStyle w:val="Normal"/>
        <w:jc w:val="both"/>
        <w:rPr>
          <w:rFonts w:cs="Arial"/>
          <w:color w:val="000000"/>
        </w:rPr>
      </w:pPr>
      <w:r>
        <w:rPr>
          <w:rFonts w:cs="Arial"/>
          <w:color w:val="000000"/>
        </w:rPr>
      </w:r>
    </w:p>
    <w:p>
      <w:pPr>
        <w:pStyle w:val="Normal"/>
        <w:jc w:val="both"/>
        <w:rPr>
          <w:rFonts w:cs="Arial"/>
          <w:b/>
          <w:b/>
          <w:bCs/>
        </w:rPr>
      </w:pPr>
      <w:r>
        <w:rPr>
          <w:rFonts w:cs="Arial"/>
          <w:color w:val="000000"/>
        </w:rPr>
        <w:t>d)</w:t>
      </w:r>
      <w:r>
        <w:rPr>
          <w:rFonts w:cs="Arial"/>
          <w:color w:val="FF0000"/>
        </w:rPr>
        <w:t xml:space="preserve"> </w:t>
      </w:r>
      <w:r>
        <w:rPr>
          <w:rFonts w:cs="Arial"/>
          <w:b/>
          <w:u w:val="single"/>
        </w:rPr>
        <w:t>Constituirá discriminación en el acceso al empleo, incluida la formación necesaria, una diferencia de trato basada en una característica relacionada con el sexo cuando, debido a la naturaleza de las actividades profesionales concretas o al contexto en el que se lleven a cabo, dicha característica constituya un requisito profesional esencial y determinante, siempre y cuando el objetivo sea legítimo y el requisito proporcionado.</w:t>
      </w:r>
      <w:r>
        <w:rPr>
          <w:rFonts w:cs="Arial"/>
          <w:color w:val="000000"/>
        </w:rPr>
        <w:t xml:space="preserve"> </w:t>
      </w:r>
    </w:p>
    <w:p>
      <w:pPr>
        <w:pStyle w:val="Normal"/>
        <w:jc w:val="both"/>
        <w:rPr>
          <w:rFonts w:cs="Arial"/>
        </w:rPr>
      </w:pPr>
      <w:r>
        <w:rPr>
          <w:rFonts w:cs="Arial"/>
        </w:rPr>
      </w:r>
    </w:p>
    <w:p>
      <w:pPr>
        <w:pStyle w:val="Normal"/>
        <w:jc w:val="both"/>
        <w:rPr>
          <w:rFonts w:cs="Arial"/>
          <w:bCs/>
        </w:rPr>
      </w:pPr>
      <w:r>
        <w:rPr>
          <w:rFonts w:cs="Arial"/>
          <w:bCs/>
        </w:rPr>
      </w:r>
    </w:p>
    <w:p>
      <w:pPr>
        <w:pStyle w:val="Normal"/>
        <w:jc w:val="both"/>
        <w:rPr>
          <w:rFonts w:cs="Arial"/>
          <w:bCs/>
        </w:rPr>
      </w:pPr>
      <w:r>
        <w:rPr>
          <w:rFonts w:cs="Arial"/>
          <w:bCs/>
        </w:rPr>
        <w:t>33. Según la Ley 3/2019, de 18 de febrero, de la Generalitat, de Servicios Sociales Inclusivos de la Comunitat Valenciana, el servicio de violencia de género y machista se estructura como:</w:t>
      </w:r>
    </w:p>
    <w:p>
      <w:pPr>
        <w:pStyle w:val="Normal"/>
        <w:jc w:val="both"/>
        <w:rPr>
          <w:rFonts w:cs="Arial"/>
        </w:rPr>
      </w:pPr>
      <w:r>
        <w:rPr>
          <w:rFonts w:cs="Arial"/>
        </w:rPr>
        <w:t>a) Servicio de atención primaria de carácter básico.</w:t>
      </w:r>
    </w:p>
    <w:p>
      <w:pPr>
        <w:pStyle w:val="Normal"/>
        <w:jc w:val="both"/>
        <w:rPr>
          <w:rFonts w:cs="Arial"/>
          <w:b/>
          <w:b/>
          <w:u w:val="single"/>
        </w:rPr>
      </w:pPr>
      <w:r>
        <w:rPr>
          <w:rFonts w:cs="Arial"/>
          <w:b/>
          <w:u w:val="single"/>
        </w:rPr>
        <w:t xml:space="preserve">b) Servicio de atención primaria de carácter específico. </w:t>
      </w:r>
    </w:p>
    <w:p>
      <w:pPr>
        <w:pStyle w:val="Normal"/>
        <w:jc w:val="both"/>
        <w:rPr>
          <w:rFonts w:cs="Arial"/>
        </w:rPr>
      </w:pPr>
      <w:r>
        <w:rPr>
          <w:rFonts w:cs="Arial"/>
        </w:rPr>
        <w:t>c) Servicio de atención secundaria.</w:t>
      </w:r>
    </w:p>
    <w:p>
      <w:pPr>
        <w:pStyle w:val="Normal"/>
        <w:jc w:val="both"/>
        <w:rPr>
          <w:rFonts w:cs="Arial"/>
        </w:rPr>
      </w:pPr>
      <w:r>
        <w:rPr>
          <w:rFonts w:cs="Arial"/>
        </w:rPr>
        <w:t>d) Servicio especializado de atención a mujeres.</w:t>
      </w:r>
    </w:p>
    <w:p>
      <w:pPr>
        <w:pStyle w:val="Normal"/>
        <w:jc w:val="both"/>
        <w:rPr>
          <w:rFonts w:cs="Arial"/>
        </w:rPr>
      </w:pPr>
      <w:r>
        <w:rPr>
          <w:rFonts w:cs="Arial"/>
        </w:rPr>
      </w:r>
    </w:p>
    <w:p>
      <w:pPr>
        <w:pStyle w:val="Normal"/>
        <w:jc w:val="both"/>
        <w:rPr>
          <w:rFonts w:cs="Arial"/>
          <w:bCs/>
        </w:rPr>
      </w:pPr>
      <w:r>
        <w:rPr>
          <w:rFonts w:cs="Arial"/>
          <w:bCs/>
        </w:rPr>
      </w:r>
    </w:p>
    <w:p>
      <w:pPr>
        <w:pStyle w:val="Normal"/>
        <w:jc w:val="both"/>
        <w:rPr>
          <w:rFonts w:cs="Arial"/>
          <w:bCs/>
        </w:rPr>
      </w:pPr>
      <w:r>
        <w:rPr>
          <w:rFonts w:cs="Arial"/>
          <w:bCs/>
        </w:rPr>
      </w:r>
    </w:p>
    <w:p>
      <w:pPr>
        <w:pStyle w:val="Normal"/>
        <w:jc w:val="both"/>
        <w:rPr>
          <w:rFonts w:cs="Arial"/>
          <w:bCs/>
        </w:rPr>
      </w:pPr>
      <w:r>
        <w:rPr>
          <w:rFonts w:cs="Arial"/>
          <w:bCs/>
        </w:rPr>
        <w:t>34. El Decreto 38/2020, de 20 de marzo, del Consell, de coordinación y financiación de la atención primaria de servicios sociales, enumera en el artículo 35 las funciones de estas unidades, integradas en la Red Valenciana de Igualdad. Indica que función no está contemplada en el citado artículo:</w:t>
      </w:r>
    </w:p>
    <w:p>
      <w:pPr>
        <w:pStyle w:val="Normal"/>
        <w:jc w:val="both"/>
        <w:rPr>
          <w:rFonts w:cs="Arial"/>
        </w:rPr>
      </w:pPr>
      <w:r>
        <w:rPr>
          <w:rFonts w:cs="Arial"/>
        </w:rPr>
        <w:t>a) Información y asesoramiento personalizado a mujeres sobre servicios y prestaciones, formación, orientación laboral y creación de empresas, entre otras.</w:t>
      </w:r>
    </w:p>
    <w:p>
      <w:pPr>
        <w:pStyle w:val="Normal"/>
        <w:jc w:val="both"/>
        <w:rPr>
          <w:rFonts w:cs="Arial"/>
        </w:rPr>
      </w:pPr>
      <w:r>
        <w:rPr>
          <w:rFonts w:cs="Arial"/>
        </w:rPr>
        <w:t>b) Diseño y planificación de programas de sensibilización, información y formación en materia de igualdad de oportunidades entre hombres y mujeres.</w:t>
      </w:r>
    </w:p>
    <w:p>
      <w:pPr>
        <w:pStyle w:val="Normal"/>
        <w:jc w:val="both"/>
        <w:rPr>
          <w:rFonts w:cs="Arial"/>
          <w:b/>
          <w:b/>
          <w:u w:val="single"/>
        </w:rPr>
      </w:pPr>
      <w:r>
        <w:rPr>
          <w:rFonts w:cs="Arial"/>
          <w:b/>
          <w:u w:val="single"/>
        </w:rPr>
        <w:t xml:space="preserve">c) El control presupuestario de la unidad de igualdad. </w:t>
      </w:r>
    </w:p>
    <w:p>
      <w:pPr>
        <w:pStyle w:val="Normal"/>
        <w:jc w:val="both"/>
        <w:rPr>
          <w:rFonts w:cs="Arial"/>
        </w:rPr>
      </w:pPr>
      <w:r>
        <w:rPr>
          <w:rFonts w:cs="Arial"/>
        </w:rPr>
        <w:t>d) Prevención, detección y derivación de víctimas de violencia de género, así como de las necesidades de la entidad local y, si es el caso, de los municipios que la integran, en materia de violencia de género.</w:t>
      </w:r>
    </w:p>
    <w:p>
      <w:pPr>
        <w:pStyle w:val="Normal"/>
        <w:jc w:val="both"/>
        <w:rPr>
          <w:rFonts w:cs="Arial"/>
        </w:rPr>
      </w:pPr>
      <w:r>
        <w:rPr>
          <w:rFonts w:cs="Arial"/>
        </w:rPr>
      </w:r>
    </w:p>
    <w:p>
      <w:pPr>
        <w:pStyle w:val="Normal"/>
        <w:jc w:val="both"/>
        <w:rPr>
          <w:rFonts w:cs="Arial"/>
          <w:bCs/>
        </w:rPr>
      </w:pPr>
      <w:r>
        <w:rPr>
          <w:rFonts w:cs="Arial"/>
          <w:bCs/>
        </w:rPr>
        <w:t>35. El Decreto 38/2020, de 20 de marzo, del Consell, de coordinación y financiación de la atención primaria de servicios sociales define a los convenios interadministrativos plurianuales suscritos para la gestión de la ejecución de las prestaciones en materia de servicios sociales, con la finalidad de regular las relaciones jurídicas y financieras, así como las relaciones de colaboración interadministrativas, en materia de servicios sociales, como:</w:t>
      </w:r>
    </w:p>
    <w:p>
      <w:pPr>
        <w:pStyle w:val="ListParagraph"/>
        <w:numPr>
          <w:ilvl w:val="0"/>
          <w:numId w:val="9"/>
        </w:numPr>
        <w:spacing w:lineRule="auto" w:line="259" w:before="0" w:after="160"/>
        <w:contextualSpacing/>
        <w:jc w:val="both"/>
        <w:rPr>
          <w:rFonts w:ascii="Arial" w:hAnsi="Arial" w:cs="Arial"/>
        </w:rPr>
      </w:pPr>
      <w:r>
        <w:rPr>
          <w:rFonts w:cs="Arial" w:ascii="Arial" w:hAnsi="Arial"/>
        </w:rPr>
        <w:t>Subvención plurianual en materia de servicios sociales.</w:t>
      </w:r>
    </w:p>
    <w:p>
      <w:pPr>
        <w:pStyle w:val="ListParagraph"/>
        <w:numPr>
          <w:ilvl w:val="0"/>
          <w:numId w:val="9"/>
        </w:numPr>
        <w:spacing w:lineRule="auto" w:line="259" w:before="0" w:after="160"/>
        <w:contextualSpacing/>
        <w:jc w:val="both"/>
        <w:rPr>
          <w:rFonts w:ascii="Arial" w:hAnsi="Arial" w:cs="Arial"/>
        </w:rPr>
      </w:pPr>
      <w:r>
        <w:rPr>
          <w:rFonts w:cs="Arial" w:ascii="Arial" w:hAnsi="Arial"/>
        </w:rPr>
        <w:t>Ayudas económicas plurianuales administrativas en materia de servicios sociales.</w:t>
      </w:r>
    </w:p>
    <w:p>
      <w:pPr>
        <w:pStyle w:val="ListParagraph"/>
        <w:numPr>
          <w:ilvl w:val="0"/>
          <w:numId w:val="9"/>
        </w:numPr>
        <w:spacing w:lineRule="auto" w:line="259" w:before="0" w:after="160"/>
        <w:contextualSpacing/>
        <w:jc w:val="both"/>
        <w:rPr>
          <w:rFonts w:ascii="Arial" w:hAnsi="Arial" w:cs="Arial"/>
          <w:b/>
          <w:b/>
          <w:u w:val="single"/>
        </w:rPr>
      </w:pPr>
      <w:r>
        <w:rPr>
          <w:rFonts w:cs="Arial" w:ascii="Arial" w:hAnsi="Arial"/>
          <w:b/>
          <w:u w:val="single"/>
        </w:rPr>
        <w:t>Contrato programa plurianual en materia de servicios sociales.</w:t>
      </w:r>
    </w:p>
    <w:p>
      <w:pPr>
        <w:pStyle w:val="ListParagraph"/>
        <w:numPr>
          <w:ilvl w:val="0"/>
          <w:numId w:val="9"/>
        </w:numPr>
        <w:spacing w:lineRule="auto" w:line="259" w:before="0" w:after="160"/>
        <w:contextualSpacing/>
        <w:jc w:val="both"/>
        <w:rPr>
          <w:rFonts w:ascii="Arial" w:hAnsi="Arial" w:cs="Arial"/>
        </w:rPr>
      </w:pPr>
      <w:r>
        <w:rPr>
          <w:rFonts w:cs="Arial" w:ascii="Arial" w:hAnsi="Arial"/>
        </w:rPr>
        <w:t>Todas las respuestas son incorrectas.</w:t>
      </w:r>
      <w:bookmarkStart w:id="2" w:name="_Hlk89783154"/>
      <w:bookmarkEnd w:id="2"/>
    </w:p>
    <w:p>
      <w:pPr>
        <w:pStyle w:val="Normal"/>
        <w:jc w:val="both"/>
        <w:rPr>
          <w:rFonts w:cs="Arial"/>
        </w:rPr>
      </w:pPr>
      <w:r>
        <w:rPr>
          <w:rFonts w:cs="Arial"/>
        </w:rPr>
      </w:r>
    </w:p>
    <w:p>
      <w:pPr>
        <w:pStyle w:val="Standard"/>
        <w:jc w:val="both"/>
        <w:rPr>
          <w:szCs w:val="22"/>
        </w:rPr>
      </w:pPr>
      <w:r>
        <w:rPr>
          <w:szCs w:val="22"/>
        </w:rPr>
        <w:t>36.- Según la Ley Orgánica 3/2007, de 22 de marzo, para la igualdad efectiva de mujeres y hombres, ¿qué es discriminación indirecta?</w:t>
      </w:r>
    </w:p>
    <w:p>
      <w:pPr>
        <w:pStyle w:val="Standard"/>
        <w:jc w:val="both"/>
        <w:rPr>
          <w:szCs w:val="22"/>
        </w:rPr>
      </w:pPr>
      <w:r>
        <w:rPr>
          <w:szCs w:val="22"/>
        </w:rPr>
      </w:r>
    </w:p>
    <w:p>
      <w:pPr>
        <w:pStyle w:val="Standard"/>
        <w:numPr>
          <w:ilvl w:val="0"/>
          <w:numId w:val="14"/>
        </w:numPr>
        <w:ind w:left="720" w:hanging="360"/>
        <w:jc w:val="both"/>
        <w:rPr>
          <w:szCs w:val="22"/>
        </w:rPr>
      </w:pPr>
      <w:r>
        <w:rPr>
          <w:szCs w:val="22"/>
        </w:rPr>
        <w:t>Se considera discriminación indirecta por razón de sexo la situación en que se encuentra una persona que sea, haya sido o pudiera ser tratada, en atención a su sexo, de manera menos favorable que otra en situación comparable.</w:t>
      </w:r>
    </w:p>
    <w:p>
      <w:pPr>
        <w:pStyle w:val="Standard"/>
        <w:numPr>
          <w:ilvl w:val="0"/>
          <w:numId w:val="14"/>
        </w:numPr>
        <w:jc w:val="both"/>
        <w:rPr>
          <w:u w:val="single"/>
        </w:rPr>
      </w:pPr>
      <w:r>
        <w:rPr>
          <w:b/>
          <w:bCs/>
          <w:szCs w:val="22"/>
          <w:u w:val="single"/>
        </w:rPr>
        <w:t>Se considera discriminación indirecta por razón de sexo la situación en que una disposición, criterio o práctica aparentemente neutros pone a personas de un sexo en desventaja particular con respecto a personas del otro, salvo que dicha disposición, criterio o práctica puedan justificarse objetivamente en atención a una finalidad legítima y que los medios para alcanzar dicha finalidad sean necesarios y adecuados.</w:t>
      </w:r>
    </w:p>
    <w:p>
      <w:pPr>
        <w:pStyle w:val="Standard"/>
        <w:numPr>
          <w:ilvl w:val="0"/>
          <w:numId w:val="14"/>
        </w:numPr>
        <w:jc w:val="both"/>
        <w:rPr>
          <w:szCs w:val="22"/>
        </w:rPr>
      </w:pPr>
      <w:r>
        <w:rPr>
          <w:szCs w:val="22"/>
        </w:rPr>
        <w:t>El concepto de discriminación indirecta no se regula en la Ley Organica 3/2007, de 22 de marzo, para la igualdad efectiva de mujeres y hombres.</w:t>
      </w:r>
    </w:p>
    <w:p>
      <w:pPr>
        <w:pStyle w:val="Standard"/>
        <w:numPr>
          <w:ilvl w:val="0"/>
          <w:numId w:val="14"/>
        </w:numPr>
        <w:jc w:val="both"/>
        <w:rPr>
          <w:szCs w:val="22"/>
        </w:rPr>
      </w:pPr>
      <w:r>
        <w:rPr>
          <w:szCs w:val="22"/>
        </w:rPr>
        <w:t>Ninguna de las anteriores respuestas es la correcta.</w:t>
      </w:r>
    </w:p>
    <w:p>
      <w:pPr>
        <w:pStyle w:val="Standard"/>
        <w:jc w:val="both"/>
        <w:rPr>
          <w:szCs w:val="22"/>
        </w:rPr>
      </w:pPr>
      <w:r>
        <w:rPr>
          <w:szCs w:val="22"/>
        </w:rPr>
      </w:r>
    </w:p>
    <w:p>
      <w:pPr>
        <w:pStyle w:val="Standard"/>
        <w:jc w:val="both"/>
        <w:rPr>
          <w:szCs w:val="22"/>
        </w:rPr>
      </w:pPr>
      <w:r>
        <w:rPr>
          <w:szCs w:val="22"/>
        </w:rPr>
      </w:r>
    </w:p>
    <w:p>
      <w:pPr>
        <w:pStyle w:val="Standard"/>
        <w:jc w:val="both"/>
        <w:rPr>
          <w:szCs w:val="22"/>
        </w:rPr>
      </w:pPr>
      <w:r>
        <w:rPr>
          <w:szCs w:val="22"/>
        </w:rPr>
        <w:t>37. ¿Qué funciones no tiene atribuidas la figura de agente de igualdad en los servicios sociales de atención primaria básica?</w:t>
      </w:r>
    </w:p>
    <w:p>
      <w:pPr>
        <w:pStyle w:val="Standard"/>
        <w:jc w:val="both"/>
        <w:rPr>
          <w:szCs w:val="22"/>
        </w:rPr>
      </w:pPr>
      <w:r>
        <w:rPr>
          <w:szCs w:val="22"/>
        </w:rPr>
      </w:r>
    </w:p>
    <w:p>
      <w:pPr>
        <w:pStyle w:val="Standard"/>
        <w:numPr>
          <w:ilvl w:val="0"/>
          <w:numId w:val="15"/>
        </w:numPr>
        <w:jc w:val="both"/>
        <w:rPr>
          <w:szCs w:val="22"/>
        </w:rPr>
      </w:pPr>
      <w:r>
        <w:rPr>
          <w:szCs w:val="22"/>
        </w:rPr>
        <w:t>Diseño de acciones para fomentar el asociacionismo de mujeres y asesoramiento para la constitución de estas asociaciones.</w:t>
      </w:r>
    </w:p>
    <w:p>
      <w:pPr>
        <w:pStyle w:val="Standard"/>
        <w:numPr>
          <w:ilvl w:val="0"/>
          <w:numId w:val="15"/>
        </w:numPr>
        <w:jc w:val="both"/>
        <w:rPr>
          <w:u w:val="single"/>
        </w:rPr>
      </w:pPr>
      <w:r>
        <w:rPr>
          <w:b/>
          <w:szCs w:val="22"/>
          <w:u w:val="single"/>
        </w:rPr>
        <w:t>Actuaciones de protección y atención integral a las víctimas de violencia de género y machista ya sus hijos e hijas a través de centros y programas.</w:t>
      </w:r>
    </w:p>
    <w:p>
      <w:pPr>
        <w:pStyle w:val="Standard"/>
        <w:numPr>
          <w:ilvl w:val="0"/>
          <w:numId w:val="15"/>
        </w:numPr>
        <w:jc w:val="both"/>
        <w:rPr>
          <w:szCs w:val="22"/>
        </w:rPr>
      </w:pPr>
      <w:r>
        <w:rPr>
          <w:szCs w:val="22"/>
        </w:rPr>
        <w:t>Coordinación con la Xarxa Jove de la Comunidad Valenciana.</w:t>
      </w:r>
    </w:p>
    <w:p>
      <w:pPr>
        <w:pStyle w:val="Standard"/>
        <w:numPr>
          <w:ilvl w:val="0"/>
          <w:numId w:val="15"/>
        </w:numPr>
        <w:jc w:val="both"/>
        <w:rPr>
          <w:szCs w:val="22"/>
        </w:rPr>
      </w:pPr>
      <w:r>
        <w:rPr>
          <w:szCs w:val="22"/>
        </w:rPr>
        <w:t>Todas son funciones de la figura de agente de igualdad.</w:t>
      </w:r>
    </w:p>
    <w:p>
      <w:pPr>
        <w:pStyle w:val="Standard"/>
        <w:jc w:val="both"/>
        <w:rPr>
          <w:szCs w:val="22"/>
        </w:rPr>
      </w:pPr>
      <w:r>
        <w:rPr>
          <w:szCs w:val="22"/>
        </w:rPr>
      </w:r>
    </w:p>
    <w:p>
      <w:pPr>
        <w:pStyle w:val="Standard"/>
        <w:jc w:val="both"/>
        <w:rPr>
          <w:szCs w:val="22"/>
        </w:rPr>
      </w:pPr>
      <w:r>
        <w:rPr>
          <w:szCs w:val="22"/>
        </w:rPr>
      </w:r>
    </w:p>
    <w:p>
      <w:pPr>
        <w:pStyle w:val="Standard"/>
        <w:jc w:val="both"/>
        <w:rPr>
          <w:szCs w:val="22"/>
        </w:rPr>
      </w:pPr>
      <w:r>
        <w:rPr>
          <w:szCs w:val="22"/>
        </w:rPr>
        <w:t>38. Según el artículo 6 de la Ley Orgánica 3/2007, de 22 de marzo, para la igualdad efectiva de mujeres y hombres, se considera discriminación directa por razón de sexo:</w:t>
      </w:r>
    </w:p>
    <w:p>
      <w:pPr>
        <w:pStyle w:val="Standard"/>
        <w:jc w:val="both"/>
        <w:rPr>
          <w:szCs w:val="22"/>
        </w:rPr>
      </w:pPr>
      <w:r>
        <w:rPr>
          <w:szCs w:val="22"/>
        </w:rPr>
      </w:r>
    </w:p>
    <w:p>
      <w:pPr>
        <w:pStyle w:val="Standard"/>
        <w:numPr>
          <w:ilvl w:val="0"/>
          <w:numId w:val="16"/>
        </w:numPr>
        <w:rPr>
          <w:u w:val="single"/>
        </w:rPr>
      </w:pPr>
      <w:r>
        <w:rPr>
          <w:b/>
          <w:bCs/>
          <w:szCs w:val="22"/>
          <w:u w:val="single"/>
        </w:rPr>
        <w:t>La situación en que se encuentre una persona que sea, haya sido o pudiera ser tratada, en atención a su sexo, de manera menos favorable que otra en situación comparable.</w:t>
      </w:r>
    </w:p>
    <w:p>
      <w:pPr>
        <w:pStyle w:val="Standard"/>
        <w:numPr>
          <w:ilvl w:val="0"/>
          <w:numId w:val="16"/>
        </w:numPr>
        <w:rPr>
          <w:szCs w:val="22"/>
        </w:rPr>
      </w:pPr>
      <w:r>
        <w:rPr>
          <w:szCs w:val="22"/>
        </w:rPr>
        <w:t>La situación en que una disposición, criterio o práctica aparentemente neutros pone a personas de un sexo en desventaja particular con respecto a personas del otro, salvo que dicha disposición, criterio o práctica puedan justificarse objetivamente en atención a una finalidad legítima y que los medios para alcanzar dicha finalidad sean necesarios y adecuados.</w:t>
      </w:r>
    </w:p>
    <w:p>
      <w:pPr>
        <w:pStyle w:val="Standard"/>
        <w:numPr>
          <w:ilvl w:val="0"/>
          <w:numId w:val="16"/>
        </w:numPr>
        <w:rPr>
          <w:szCs w:val="22"/>
        </w:rPr>
      </w:pPr>
      <w:r>
        <w:rPr>
          <w:szCs w:val="22"/>
        </w:rPr>
        <w:t>Todas aquellas situaciones que de forma intencionada o con una aparente neutralidad, una persona es tratada de modo diferente, en atención a su sexo.</w:t>
      </w:r>
    </w:p>
    <w:p>
      <w:pPr>
        <w:pStyle w:val="Standard"/>
        <w:numPr>
          <w:ilvl w:val="0"/>
          <w:numId w:val="16"/>
        </w:numPr>
        <w:rPr>
          <w:szCs w:val="22"/>
        </w:rPr>
      </w:pPr>
      <w:r>
        <w:rPr>
          <w:szCs w:val="22"/>
        </w:rPr>
        <w:t>Ninguna de las respuestas es correcta.</w:t>
      </w:r>
    </w:p>
    <w:p>
      <w:pPr>
        <w:pStyle w:val="Standard"/>
        <w:rPr>
          <w:szCs w:val="22"/>
        </w:rPr>
      </w:pPr>
      <w:r>
        <w:rPr>
          <w:szCs w:val="22"/>
        </w:rPr>
      </w:r>
    </w:p>
    <w:p>
      <w:pPr>
        <w:pStyle w:val="Standard"/>
        <w:rPr>
          <w:szCs w:val="22"/>
        </w:rPr>
      </w:pPr>
      <w:r>
        <w:rPr>
          <w:szCs w:val="22"/>
        </w:rPr>
      </w:r>
    </w:p>
    <w:p>
      <w:pPr>
        <w:pStyle w:val="Standard"/>
        <w:rPr>
          <w:szCs w:val="22"/>
        </w:rPr>
      </w:pPr>
      <w:r>
        <w:rPr>
          <w:szCs w:val="22"/>
        </w:rPr>
        <w:t>39. Según el artículo 1.1 de la Ley orgánica 3/2007, de 22 de marzo, para la igualdad efectiva de mujeres y hombres, tiene como objeto:</w:t>
      </w:r>
    </w:p>
    <w:p>
      <w:pPr>
        <w:pStyle w:val="Standard"/>
        <w:rPr>
          <w:szCs w:val="22"/>
        </w:rPr>
      </w:pPr>
      <w:r>
        <w:rPr>
          <w:szCs w:val="22"/>
        </w:rPr>
      </w:r>
    </w:p>
    <w:p>
      <w:pPr>
        <w:pStyle w:val="Standard"/>
        <w:numPr>
          <w:ilvl w:val="0"/>
          <w:numId w:val="17"/>
        </w:numPr>
        <w:rPr>
          <w:u w:val="single"/>
        </w:rPr>
      </w:pPr>
      <w:r>
        <w:rPr>
          <w:b/>
          <w:bCs/>
          <w:szCs w:val="22"/>
          <w:u w:val="single"/>
        </w:rPr>
        <w:t>Hacer efectivo el derecho de igualdad de trato y de oportunidades entre mujeres y hombres, en particular mediante la eliminación de la discriminación de la mujer, sea cual fuere su circunstancia o condición, en cualesquiera de los ámbitos de la vida y, singularmente, en las esferas política, civil, laboral, económica, social y cultural.</w:t>
      </w:r>
    </w:p>
    <w:p>
      <w:pPr>
        <w:pStyle w:val="Standard"/>
        <w:numPr>
          <w:ilvl w:val="0"/>
          <w:numId w:val="17"/>
        </w:numPr>
        <w:rPr>
          <w:szCs w:val="22"/>
        </w:rPr>
      </w:pPr>
      <w:r>
        <w:rPr>
          <w:szCs w:val="22"/>
        </w:rPr>
        <w:t>Hacer efectivo el principio de igualdad de oportunidades de hombres y mujeres, haciendo hincapié en aquellos ámbitos de la vida en los cuales se produzca una discriminación por razón de sexo, y exista una infrarrepresentación femenina.</w:t>
      </w:r>
    </w:p>
    <w:p>
      <w:pPr>
        <w:pStyle w:val="Standard"/>
        <w:numPr>
          <w:ilvl w:val="0"/>
          <w:numId w:val="17"/>
        </w:numPr>
        <w:rPr>
          <w:szCs w:val="22"/>
        </w:rPr>
      </w:pPr>
      <w:r>
        <w:rPr>
          <w:szCs w:val="22"/>
        </w:rPr>
        <w:t>Tiene como objeto eliminar desigualdades en las esferas de la política, civil, laboral, económica, social y cultural, facilitando acciones de discriminación positiva y favoreciendo al sexo menos representado en la sociedad.</w:t>
      </w:r>
    </w:p>
    <w:p>
      <w:pPr>
        <w:pStyle w:val="Standard"/>
        <w:numPr>
          <w:ilvl w:val="0"/>
          <w:numId w:val="17"/>
        </w:numPr>
        <w:rPr>
          <w:szCs w:val="22"/>
        </w:rPr>
      </w:pPr>
      <w:r>
        <w:rPr>
          <w:szCs w:val="22"/>
        </w:rPr>
        <w:t>Ninguna de las anteriores es correcta.</w:t>
      </w:r>
    </w:p>
    <w:p>
      <w:pPr>
        <w:pStyle w:val="Standard"/>
        <w:rPr>
          <w:szCs w:val="22"/>
        </w:rPr>
      </w:pPr>
      <w:r>
        <w:rPr>
          <w:szCs w:val="22"/>
        </w:rPr>
      </w:r>
    </w:p>
    <w:p>
      <w:pPr>
        <w:pStyle w:val="Standard"/>
        <w:rPr>
          <w:szCs w:val="22"/>
        </w:rPr>
      </w:pPr>
      <w:r>
        <w:rPr>
          <w:szCs w:val="22"/>
        </w:rPr>
      </w:r>
    </w:p>
    <w:p>
      <w:pPr>
        <w:pStyle w:val="Standard"/>
        <w:rPr>
          <w:szCs w:val="22"/>
        </w:rPr>
      </w:pPr>
      <w:r>
        <w:rPr>
          <w:szCs w:val="22"/>
        </w:rPr>
        <w:t>40. De conformidad con lo establecido en el artículo 20 de la Ley Orgánica 3/2007, de 22 de marzo, para la igualdad efectiva de mujeres y hombres, al objeto de hacer efectivas las disposiciones contenidas en esta Ley y que se garantice la integración de modo efectivo de la perspectiva de género en su actividad ordinaria los poderes públicos, en la elaboración de sus estudios y estadísticas, deberán:</w:t>
      </w:r>
    </w:p>
    <w:p>
      <w:pPr>
        <w:pStyle w:val="Standard"/>
        <w:rPr>
          <w:szCs w:val="22"/>
        </w:rPr>
      </w:pPr>
      <w:r>
        <w:rPr>
          <w:szCs w:val="22"/>
        </w:rPr>
      </w:r>
    </w:p>
    <w:p>
      <w:pPr>
        <w:pStyle w:val="Standard"/>
        <w:numPr>
          <w:ilvl w:val="0"/>
          <w:numId w:val="18"/>
        </w:numPr>
        <w:rPr>
          <w:u w:val="single"/>
        </w:rPr>
      </w:pPr>
      <w:r>
        <w:rPr>
          <w:szCs w:val="22"/>
          <w:u w:val="single"/>
        </w:rPr>
        <w:t>I</w:t>
      </w:r>
      <w:r>
        <w:rPr>
          <w:b/>
          <w:bCs/>
          <w:szCs w:val="22"/>
          <w:u w:val="single"/>
        </w:rPr>
        <w:t>ncluir sistemáticamente la variable de sexo en las estadísticas, encuestas y recogida de datos que lleven a cabo.</w:t>
      </w:r>
    </w:p>
    <w:p>
      <w:pPr>
        <w:pStyle w:val="Standard"/>
        <w:numPr>
          <w:ilvl w:val="0"/>
          <w:numId w:val="18"/>
        </w:numPr>
        <w:rPr>
          <w:szCs w:val="22"/>
        </w:rPr>
      </w:pPr>
      <w:r>
        <w:rPr>
          <w:szCs w:val="22"/>
        </w:rPr>
        <w:t>Incluir motivadamente la variable de sexo en las estadísticas, encuestas y recogida de datos que lleven a cabo.</w:t>
      </w:r>
    </w:p>
    <w:p>
      <w:pPr>
        <w:pStyle w:val="Standard"/>
        <w:numPr>
          <w:ilvl w:val="0"/>
          <w:numId w:val="18"/>
        </w:numPr>
        <w:rPr>
          <w:szCs w:val="22"/>
        </w:rPr>
      </w:pPr>
      <w:r>
        <w:rPr>
          <w:szCs w:val="22"/>
        </w:rPr>
        <w:t>Incluir sistemáticamente la variable de género en las estadísticas, encuestas y recogida de datos que lleven a cabo.</w:t>
      </w:r>
    </w:p>
    <w:p>
      <w:pPr>
        <w:pStyle w:val="Standard"/>
        <w:numPr>
          <w:ilvl w:val="0"/>
          <w:numId w:val="18"/>
        </w:numPr>
        <w:rPr>
          <w:szCs w:val="22"/>
        </w:rPr>
      </w:pPr>
      <w:r>
        <w:rPr>
          <w:szCs w:val="22"/>
        </w:rPr>
        <w:t>Incluir motivadamente la variable de género en las estadísticas, encuestas y recogida de datos que lleven a cabo.</w:t>
      </w:r>
    </w:p>
    <w:p>
      <w:pPr>
        <w:pStyle w:val="Standard"/>
        <w:rPr>
          <w:szCs w:val="22"/>
        </w:rPr>
      </w:pPr>
      <w:r>
        <w:rPr>
          <w:szCs w:val="22"/>
        </w:rPr>
      </w:r>
    </w:p>
    <w:p>
      <w:pPr>
        <w:pStyle w:val="Standard"/>
        <w:rPr>
          <w:szCs w:val="22"/>
        </w:rPr>
      </w:pPr>
      <w:r>
        <w:rPr>
          <w:szCs w:val="22"/>
        </w:rPr>
      </w:r>
    </w:p>
    <w:p>
      <w:pPr>
        <w:pStyle w:val="Standard"/>
        <w:rPr>
          <w:szCs w:val="22"/>
        </w:rPr>
      </w:pPr>
      <w:r>
        <w:rPr>
          <w:szCs w:val="22"/>
        </w:rPr>
      </w:r>
    </w:p>
    <w:p>
      <w:pPr>
        <w:pStyle w:val="Standard"/>
        <w:rPr>
          <w:szCs w:val="22"/>
        </w:rPr>
      </w:pPr>
      <w:r>
        <w:rPr>
          <w:szCs w:val="22"/>
        </w:rPr>
      </w:r>
    </w:p>
    <w:p>
      <w:pPr>
        <w:pStyle w:val="Standard"/>
        <w:rPr>
          <w:szCs w:val="22"/>
        </w:rPr>
      </w:pPr>
      <w:r>
        <w:rPr>
          <w:szCs w:val="22"/>
          <w:highlight w:val="yellow"/>
        </w:rPr>
        <w:t>RESERVA</w:t>
      </w:r>
      <w:r>
        <w:rPr>
          <w:szCs w:val="22"/>
        </w:rPr>
        <w:t>:</w:t>
      </w:r>
    </w:p>
    <w:p>
      <w:pPr>
        <w:pStyle w:val="Standard"/>
        <w:rPr>
          <w:szCs w:val="22"/>
        </w:rPr>
      </w:pPr>
      <w:r>
        <w:rPr/>
      </w:r>
    </w:p>
    <w:p>
      <w:pPr>
        <w:pStyle w:val="Standard"/>
        <w:numPr>
          <w:ilvl w:val="1"/>
          <w:numId w:val="15"/>
        </w:numPr>
        <w:rPr>
          <w:szCs w:val="22"/>
        </w:rPr>
      </w:pPr>
      <w:r>
        <w:rPr>
          <w:szCs w:val="22"/>
        </w:rPr>
        <w:t>En relación a la Ley Orgánica 3/2007, de 22 de marzo, para la igualdad efectiva en mujeres y hombres, señale la respuesta correcta:</w:t>
      </w:r>
    </w:p>
    <w:p>
      <w:pPr>
        <w:pStyle w:val="Standard"/>
        <w:rPr>
          <w:szCs w:val="22"/>
        </w:rPr>
      </w:pPr>
      <w:r>
        <w:rPr>
          <w:szCs w:val="22"/>
        </w:rPr>
      </w:r>
    </w:p>
    <w:p>
      <w:pPr>
        <w:pStyle w:val="Standard"/>
        <w:numPr>
          <w:ilvl w:val="0"/>
          <w:numId w:val="19"/>
        </w:numPr>
        <w:rPr>
          <w:szCs w:val="22"/>
        </w:rPr>
      </w:pPr>
      <w:r>
        <w:rPr>
          <w:szCs w:val="22"/>
        </w:rPr>
        <w:t>Únicamente afecta a las políticas públicas estatales</w:t>
      </w:r>
    </w:p>
    <w:p>
      <w:pPr>
        <w:pStyle w:val="Standard"/>
        <w:numPr>
          <w:ilvl w:val="0"/>
          <w:numId w:val="19"/>
        </w:numPr>
        <w:rPr>
          <w:szCs w:val="22"/>
        </w:rPr>
      </w:pPr>
      <w:r>
        <w:rPr>
          <w:szCs w:val="22"/>
        </w:rPr>
        <w:t>Plasma criterios de actuación para todas las políticas públicas, con especial atención a la desigualdad en el ámbito de las relaciones laborales.</w:t>
      </w:r>
    </w:p>
    <w:p>
      <w:pPr>
        <w:pStyle w:val="Standard"/>
        <w:numPr>
          <w:ilvl w:val="0"/>
          <w:numId w:val="19"/>
        </w:numPr>
        <w:rPr>
          <w:b/>
          <w:b/>
          <w:bCs/>
          <w:u w:val="single"/>
        </w:rPr>
      </w:pPr>
      <w:r>
        <w:rPr>
          <w:b/>
          <w:bCs/>
          <w:szCs w:val="22"/>
          <w:u w:val="single"/>
        </w:rPr>
        <w:t>Establece que el principio de presencia o composición equilibrada en órganos y cargos de responsabilidad no se trata en la Ley, sino en su desarrollo reglamentario.</w:t>
      </w:r>
    </w:p>
    <w:p>
      <w:pPr>
        <w:pStyle w:val="Standard"/>
        <w:numPr>
          <w:ilvl w:val="0"/>
          <w:numId w:val="19"/>
        </w:numPr>
        <w:rPr>
          <w:szCs w:val="22"/>
        </w:rPr>
      </w:pPr>
      <w:r>
        <w:rPr>
          <w:szCs w:val="22"/>
        </w:rPr>
        <w:t>Indica que composición equilibrada es aquella en la que la mitad de sus integrantes son hombres y la mitad mujeres.</w:t>
      </w:r>
    </w:p>
    <w:p>
      <w:pPr>
        <w:pStyle w:val="Standard"/>
        <w:rPr>
          <w:szCs w:val="22"/>
        </w:rPr>
      </w:pPr>
      <w:r>
        <w:rPr>
          <w:szCs w:val="22"/>
        </w:rPr>
      </w:r>
    </w:p>
    <w:p>
      <w:pPr>
        <w:pStyle w:val="Standard"/>
        <w:numPr>
          <w:ilvl w:val="1"/>
          <w:numId w:val="15"/>
        </w:numPr>
        <w:rPr>
          <w:szCs w:val="22"/>
        </w:rPr>
      </w:pPr>
      <w:r>
        <w:rPr>
          <w:szCs w:val="22"/>
        </w:rPr>
        <w:t>En relación a la Ley Orgánica 3/2007, de 22 de marzo, para la igualdad efectiva en mujeres y hombres, señale la respuesta correcta:</w:t>
      </w:r>
    </w:p>
    <w:p>
      <w:pPr>
        <w:pStyle w:val="Standard"/>
        <w:rPr>
          <w:szCs w:val="22"/>
        </w:rPr>
      </w:pPr>
      <w:r>
        <w:rPr>
          <w:szCs w:val="22"/>
        </w:rPr>
      </w:r>
    </w:p>
    <w:p>
      <w:pPr>
        <w:pStyle w:val="Standard"/>
        <w:numPr>
          <w:ilvl w:val="0"/>
          <w:numId w:val="20"/>
        </w:numPr>
        <w:rPr>
          <w:szCs w:val="22"/>
        </w:rPr>
      </w:pPr>
      <w:r>
        <w:rPr>
          <w:szCs w:val="22"/>
        </w:rPr>
        <w:t>Establece principios de actuación de los Poderes Públicos y prevé medidas destinadas a eliminar y corregir toda forma de discriminación por razón de sexo únicamente en el sector público.</w:t>
      </w:r>
    </w:p>
    <w:p>
      <w:pPr>
        <w:pStyle w:val="Standard"/>
        <w:numPr>
          <w:ilvl w:val="0"/>
          <w:numId w:val="20"/>
        </w:numPr>
        <w:rPr>
          <w:szCs w:val="22"/>
        </w:rPr>
      </w:pPr>
      <w:r>
        <w:rPr>
          <w:szCs w:val="22"/>
        </w:rPr>
        <w:t>Establece que el principio de igualdad de trato y de oportunidades entre mujeres y hombres se integrará en los planes y programas desarrollados por los poderes públicos, no en la interpretación y aplicación de las normas jurídicas.</w:t>
      </w:r>
    </w:p>
    <w:p>
      <w:pPr>
        <w:pStyle w:val="Standard"/>
        <w:numPr>
          <w:ilvl w:val="0"/>
          <w:numId w:val="20"/>
        </w:numPr>
        <w:rPr>
          <w:szCs w:val="22"/>
        </w:rPr>
      </w:pPr>
      <w:r>
        <w:rPr>
          <w:szCs w:val="22"/>
        </w:rPr>
        <w:t>Considera discriminación directa por razón de sexo la situación en que una disposición, criterio o práctica aparentemente neutros pone a personas de un sexo en desventaja particular con respecto a personas del otro.</w:t>
      </w:r>
    </w:p>
    <w:p>
      <w:pPr>
        <w:pStyle w:val="Standard"/>
        <w:numPr>
          <w:ilvl w:val="0"/>
          <w:numId w:val="20"/>
        </w:numPr>
        <w:rPr>
          <w:u w:val="single"/>
        </w:rPr>
      </w:pPr>
      <w:r>
        <w:rPr>
          <w:b/>
          <w:bCs/>
          <w:szCs w:val="22"/>
          <w:u w:val="single"/>
        </w:rPr>
        <w:t>Establece que es también discriminación por razón de sexo, el condicionamiento de un derecho o de una expectativa de derecho a la aceptación de una situación constitutiva de acoso sexual o de acoso por razón de sexo.</w:t>
      </w:r>
    </w:p>
    <w:p>
      <w:pPr>
        <w:pStyle w:val="Standard"/>
        <w:rPr>
          <w:szCs w:val="22"/>
        </w:rPr>
      </w:pPr>
      <w:r>
        <w:rPr>
          <w:szCs w:val="22"/>
        </w:rPr>
      </w:r>
    </w:p>
    <w:p>
      <w:pPr>
        <w:pStyle w:val="Standard"/>
        <w:numPr>
          <w:ilvl w:val="1"/>
          <w:numId w:val="15"/>
        </w:numPr>
        <w:rPr>
          <w:szCs w:val="22"/>
        </w:rPr>
      </w:pPr>
      <w:r>
        <w:rPr>
          <w:szCs w:val="22"/>
        </w:rPr>
        <w:t>En relación a la Ley Orgánica 3/2007, de 22 de marzo, para la igualdad efectiva de mujeres y hombres, señale la respuesta correcta:</w:t>
      </w:r>
    </w:p>
    <w:p>
      <w:pPr>
        <w:pStyle w:val="Standard"/>
        <w:rPr>
          <w:szCs w:val="22"/>
        </w:rPr>
      </w:pPr>
      <w:r>
        <w:rPr>
          <w:szCs w:val="22"/>
        </w:rPr>
      </w:r>
    </w:p>
    <w:p>
      <w:pPr>
        <w:pStyle w:val="Standard"/>
        <w:numPr>
          <w:ilvl w:val="0"/>
          <w:numId w:val="21"/>
        </w:numPr>
        <w:rPr>
          <w:szCs w:val="22"/>
        </w:rPr>
      </w:pPr>
      <w:r>
        <w:rPr>
          <w:szCs w:val="22"/>
        </w:rPr>
        <w:t>En sus disposiciones organizativas se refieren a la Comisión Interministerial, el Instituto de la Mujer, las Unidades de Igualdad y el Consejo de participación de la Mujer.</w:t>
      </w:r>
    </w:p>
    <w:p>
      <w:pPr>
        <w:pStyle w:val="Standard"/>
        <w:numPr>
          <w:ilvl w:val="0"/>
          <w:numId w:val="21"/>
        </w:numPr>
        <w:rPr>
          <w:u w:val="single"/>
        </w:rPr>
      </w:pPr>
      <w:r>
        <w:rPr>
          <w:b/>
          <w:bCs/>
          <w:szCs w:val="22"/>
          <w:u w:val="single"/>
        </w:rPr>
        <w:t>Establece que una de las funciones de las unidades de igualdad será la de asesorar a los órganos competentes del departamento en la elaboración del informe sobre impacto por razón de género.</w:t>
      </w:r>
    </w:p>
    <w:p>
      <w:pPr>
        <w:pStyle w:val="Standard"/>
        <w:numPr>
          <w:ilvl w:val="0"/>
          <w:numId w:val="21"/>
        </w:numPr>
        <w:rPr>
          <w:szCs w:val="22"/>
        </w:rPr>
      </w:pPr>
      <w:r>
        <w:rPr>
          <w:szCs w:val="22"/>
        </w:rPr>
        <w:t>Regula que el Consejo de Participación de la Mujer estará formado únicamente por asociaciones de mujeres de carácter estatal.</w:t>
      </w:r>
    </w:p>
    <w:p>
      <w:pPr>
        <w:pStyle w:val="Standard"/>
        <w:numPr>
          <w:ilvl w:val="0"/>
          <w:numId w:val="21"/>
        </w:numPr>
        <w:rPr>
          <w:szCs w:val="22"/>
        </w:rPr>
      </w:pPr>
      <w:r>
        <w:rPr>
          <w:szCs w:val="22"/>
        </w:rPr>
        <w:t>Modifica muchas otras leyes como la Ley Orgánica de Régimen Electoral general, la Ley Orgánica del Poder Judicial o la Ley de Enjuiciamiento Civil, no modifica, sin embargo, la ley General de Sanidad.</w:t>
      </w:r>
    </w:p>
    <w:p>
      <w:pPr>
        <w:pStyle w:val="Standard"/>
        <w:rPr>
          <w:szCs w:val="22"/>
        </w:rPr>
      </w:pPr>
      <w:r>
        <w:rPr>
          <w:szCs w:val="22"/>
        </w:rPr>
      </w:r>
    </w:p>
    <w:p>
      <w:pPr>
        <w:pStyle w:val="Standard"/>
        <w:numPr>
          <w:ilvl w:val="1"/>
          <w:numId w:val="15"/>
        </w:numPr>
        <w:jc w:val="both"/>
        <w:rPr>
          <w:szCs w:val="22"/>
        </w:rPr>
      </w:pPr>
      <w:r>
        <w:rPr>
          <w:szCs w:val="22"/>
        </w:rPr>
        <w:t>Actualmente un joven  con 17 años sin el título de la Educación Secundaria Obligatoria, puede acceder a:</w:t>
      </w:r>
    </w:p>
    <w:p>
      <w:pPr>
        <w:pStyle w:val="Standard"/>
        <w:jc w:val="both"/>
        <w:rPr>
          <w:szCs w:val="22"/>
        </w:rPr>
      </w:pPr>
      <w:r>
        <w:rPr>
          <w:szCs w:val="22"/>
        </w:rPr>
      </w:r>
    </w:p>
    <w:p>
      <w:pPr>
        <w:pStyle w:val="Standard"/>
        <w:jc w:val="both"/>
        <w:rPr>
          <w:szCs w:val="22"/>
        </w:rPr>
      </w:pPr>
      <w:r>
        <w:rPr>
          <w:szCs w:val="22"/>
        </w:rPr>
        <w:t>a) Formación Profesional Básica (con requisitos)(Nivel 1),Programa Formativo de Cualificación Básica (Nivel 1),Educación Secundaria para personas adultas con requisitos</w:t>
      </w:r>
    </w:p>
    <w:p>
      <w:pPr>
        <w:pStyle w:val="Standard"/>
        <w:jc w:val="both"/>
        <w:rPr>
          <w:szCs w:val="22"/>
        </w:rPr>
      </w:pPr>
      <w:r>
        <w:rPr>
          <w:szCs w:val="22"/>
        </w:rPr>
        <w:t xml:space="preserve">b) </w:t>
      </w:r>
      <w:r>
        <w:rPr>
          <w:b/>
          <w:bCs/>
          <w:szCs w:val="22"/>
          <w:u w:val="single"/>
        </w:rPr>
        <w:t>Formación Profesional Básica (con requisitos)(Nivel 1)</w:t>
      </w:r>
    </w:p>
    <w:p>
      <w:pPr>
        <w:pStyle w:val="Standard"/>
        <w:jc w:val="both"/>
        <w:rPr>
          <w:b/>
          <w:b/>
          <w:bCs/>
          <w:u w:val="single"/>
        </w:rPr>
      </w:pPr>
      <w:r>
        <w:rPr>
          <w:b/>
          <w:bCs/>
          <w:szCs w:val="22"/>
          <w:u w:val="single"/>
        </w:rPr>
        <w:t xml:space="preserve">  </w:t>
      </w:r>
      <w:r>
        <w:rPr>
          <w:b/>
          <w:bCs/>
          <w:szCs w:val="22"/>
          <w:u w:val="single"/>
        </w:rPr>
        <w:t>Programa Formativo de Cualificación Básica (Nivel 1),FP Básica 2a Oportunidad,Prueb</w:t>
      </w:r>
      <w:r>
        <w:rPr>
          <w:b/>
          <w:bCs/>
          <w:szCs w:val="22"/>
          <w:u w:val="single"/>
        </w:rPr>
        <w:t>a</w:t>
      </w:r>
      <w:r>
        <w:rPr>
          <w:b/>
          <w:bCs/>
          <w:szCs w:val="22"/>
          <w:u w:val="single"/>
        </w:rPr>
        <w:t xml:space="preserve"> de acceso a CFGM,Educación Secundaria para personas adultas con requisitos</w:t>
      </w:r>
    </w:p>
    <w:p>
      <w:pPr>
        <w:pStyle w:val="Standard"/>
        <w:jc w:val="both"/>
        <w:rPr>
          <w:szCs w:val="22"/>
        </w:rPr>
      </w:pPr>
      <w:r>
        <w:rPr>
          <w:szCs w:val="22"/>
        </w:rPr>
        <w:t>c) Prueba libre para la obtención del Título de Graduado en la ESO,</w:t>
      </w:r>
    </w:p>
    <w:p>
      <w:pPr>
        <w:pStyle w:val="Standard"/>
        <w:jc w:val="both"/>
        <w:rPr>
          <w:szCs w:val="22"/>
        </w:rPr>
      </w:pPr>
      <w:r>
        <w:rPr>
          <w:szCs w:val="22"/>
        </w:rPr>
        <w:t xml:space="preserve">   </w:t>
      </w:r>
      <w:r>
        <w:rPr>
          <w:szCs w:val="22"/>
        </w:rPr>
        <w:t xml:space="preserve">Programa Formativo de Cualificación Básica (Nivel 1), FP Básica 2ª Oportunidad o    </w:t>
      </w:r>
    </w:p>
    <w:p>
      <w:pPr>
        <w:pStyle w:val="Standard"/>
        <w:jc w:val="both"/>
        <w:rPr>
          <w:szCs w:val="22"/>
        </w:rPr>
      </w:pPr>
      <w:r>
        <w:rPr>
          <w:szCs w:val="22"/>
        </w:rPr>
        <w:t xml:space="preserve">   </w:t>
      </w:r>
      <w:r>
        <w:rPr>
          <w:szCs w:val="22"/>
        </w:rPr>
        <w:t>Educación Secundaria para personas adultas .</w:t>
      </w:r>
    </w:p>
    <w:p>
      <w:pPr>
        <w:pStyle w:val="Standard"/>
        <w:jc w:val="both"/>
        <w:rPr>
          <w:szCs w:val="22"/>
        </w:rPr>
      </w:pPr>
      <w:r>
        <w:rPr>
          <w:szCs w:val="22"/>
        </w:rPr>
        <w:t>d) Todas las respuestas anteriores son correctas.</w:t>
      </w:r>
    </w:p>
    <w:p>
      <w:pPr>
        <w:pStyle w:val="Standard"/>
        <w:jc w:val="both"/>
        <w:rPr>
          <w:szCs w:val="22"/>
        </w:rPr>
      </w:pPr>
      <w:r>
        <w:rPr>
          <w:szCs w:val="22"/>
        </w:rPr>
      </w:r>
    </w:p>
    <w:p>
      <w:pPr>
        <w:pStyle w:val="Normal"/>
        <w:jc w:val="both"/>
        <w:rPr/>
      </w:pPr>
      <w:r>
        <w:rPr/>
      </w:r>
    </w:p>
    <w:p>
      <w:pPr>
        <w:pStyle w:val="Default"/>
        <w:numPr>
          <w:ilvl w:val="1"/>
          <w:numId w:val="15"/>
        </w:numPr>
        <w:jc w:val="both"/>
        <w:rPr>
          <w:rFonts w:ascii="Arial" w:hAnsi="Arial" w:cs="Arial"/>
          <w:bCs/>
          <w:sz w:val="22"/>
          <w:szCs w:val="22"/>
        </w:rPr>
      </w:pPr>
      <w:r>
        <w:rPr>
          <w:rFonts w:cs="Arial" w:ascii="Arial" w:hAnsi="Arial"/>
          <w:bCs/>
          <w:sz w:val="22"/>
          <w:szCs w:val="22"/>
        </w:rPr>
        <w:t xml:space="preserve">La Ley Orgánica 1/2004, de 28 de diciembre, de Medidas de Protección Integral contra la Violencia de Género, establece en su Título II los Derechos de las mujeres víctimas de violencia de género; </w:t>
      </w:r>
      <w:r>
        <w:rPr>
          <w:rFonts w:cs="Arial" w:ascii="Arial" w:hAnsi="Arial"/>
          <w:bCs/>
          <w:sz w:val="22"/>
          <w:szCs w:val="22"/>
          <w:u w:val="single"/>
        </w:rPr>
        <w:t>señala la respuesta correcta</w:t>
      </w:r>
      <w:r>
        <w:rPr>
          <w:rFonts w:cs="Arial" w:ascii="Arial" w:hAnsi="Arial"/>
          <w:bCs/>
          <w:sz w:val="22"/>
          <w:szCs w:val="22"/>
        </w:rPr>
        <w:t>:</w:t>
      </w:r>
    </w:p>
    <w:p>
      <w:pPr>
        <w:pStyle w:val="Normal"/>
        <w:jc w:val="both"/>
        <w:rPr>
          <w:rFonts w:cs="Arial"/>
          <w:b/>
          <w:b/>
          <w:bCs/>
          <w:color w:val="000000"/>
        </w:rPr>
      </w:pPr>
      <w:r>
        <w:rPr>
          <w:rFonts w:cs="Arial"/>
          <w:b/>
          <w:bCs/>
          <w:color w:val="000000"/>
        </w:rPr>
      </w:r>
    </w:p>
    <w:p>
      <w:pPr>
        <w:pStyle w:val="ListParagraph"/>
        <w:numPr>
          <w:ilvl w:val="0"/>
          <w:numId w:val="8"/>
        </w:numPr>
        <w:spacing w:lineRule="auto" w:line="259" w:before="0" w:after="160"/>
        <w:contextualSpacing/>
        <w:jc w:val="both"/>
        <w:rPr>
          <w:rFonts w:ascii="Arial" w:hAnsi="Arial" w:cs="Arial"/>
        </w:rPr>
      </w:pPr>
      <w:r>
        <w:rPr>
          <w:rFonts w:cs="Arial" w:ascii="Arial" w:hAnsi="Arial"/>
          <w:color w:val="000000"/>
        </w:rPr>
        <w:t>Derecho a la información, a la asistencia social integral y a la asistencia jurídica gratuita.</w:t>
      </w:r>
    </w:p>
    <w:p>
      <w:pPr>
        <w:pStyle w:val="ListParagraph"/>
        <w:numPr>
          <w:ilvl w:val="0"/>
          <w:numId w:val="8"/>
        </w:numPr>
        <w:spacing w:lineRule="auto" w:line="259" w:before="0" w:after="160"/>
        <w:contextualSpacing/>
        <w:jc w:val="both"/>
        <w:rPr>
          <w:rFonts w:ascii="Arial" w:hAnsi="Arial" w:cs="Arial"/>
        </w:rPr>
      </w:pPr>
      <w:r>
        <w:rPr>
          <w:rFonts w:cs="Arial" w:ascii="Arial" w:hAnsi="Arial"/>
          <w:color w:val="000000"/>
        </w:rPr>
        <w:t>Derechos laborales y prestaciones de la Seguridad Social.</w:t>
      </w:r>
    </w:p>
    <w:p>
      <w:pPr>
        <w:pStyle w:val="ListParagraph"/>
        <w:numPr>
          <w:ilvl w:val="0"/>
          <w:numId w:val="8"/>
        </w:numPr>
        <w:spacing w:lineRule="auto" w:line="259" w:before="0" w:after="160"/>
        <w:contextualSpacing/>
        <w:jc w:val="both"/>
        <w:rPr>
          <w:rFonts w:ascii="Arial" w:hAnsi="Arial" w:cs="Arial"/>
        </w:rPr>
      </w:pPr>
      <w:r>
        <w:rPr>
          <w:rFonts w:cs="Arial" w:ascii="Arial" w:hAnsi="Arial"/>
          <w:color w:val="000000"/>
        </w:rPr>
        <w:t>Derechos de las funcionarias públicas.</w:t>
      </w:r>
    </w:p>
    <w:p>
      <w:pPr>
        <w:pStyle w:val="ListParagraph"/>
        <w:numPr>
          <w:ilvl w:val="0"/>
          <w:numId w:val="8"/>
        </w:numPr>
        <w:spacing w:lineRule="auto" w:line="259" w:before="0" w:after="160"/>
        <w:contextualSpacing/>
        <w:jc w:val="both"/>
        <w:rPr>
          <w:rFonts w:ascii="Arial" w:hAnsi="Arial" w:cs="Arial"/>
          <w:b/>
          <w:b/>
          <w:u w:val="single"/>
        </w:rPr>
      </w:pPr>
      <w:r>
        <w:rPr>
          <w:rFonts w:cs="Arial" w:ascii="Arial" w:hAnsi="Arial"/>
          <w:b/>
          <w:u w:val="single"/>
        </w:rPr>
        <w:t xml:space="preserve">Todas las respuestas son correctas.  </w:t>
      </w:r>
    </w:p>
    <w:p>
      <w:pPr>
        <w:pStyle w:val="Normal"/>
        <w:spacing w:lineRule="auto" w:line="259" w:before="0" w:after="160"/>
        <w:jc w:val="both"/>
        <w:rPr>
          <w:rFonts w:cs="Arial"/>
        </w:rPr>
      </w:pPr>
      <w:r>
        <w:rPr>
          <w:rFonts w:cs="Arial"/>
        </w:rPr>
      </w:r>
    </w:p>
    <w:p>
      <w:pPr>
        <w:pStyle w:val="Normal"/>
        <w:spacing w:lineRule="auto" w:line="259" w:before="0" w:after="160"/>
        <w:jc w:val="both"/>
        <w:rPr>
          <w:rFonts w:cs="Arial"/>
        </w:rPr>
      </w:pPr>
      <w:r>
        <w:rPr>
          <w:rFonts w:cs="Arial"/>
        </w:rPr>
      </w:r>
    </w:p>
    <w:p>
      <w:pPr>
        <w:pStyle w:val="Normal"/>
        <w:spacing w:lineRule="auto" w:line="259" w:before="0" w:after="160"/>
        <w:jc w:val="both"/>
        <w:rPr>
          <w:rFonts w:cs="Arial"/>
        </w:rPr>
      </w:pPr>
      <w:r>
        <w:rPr>
          <w:rFonts w:cs="Arial"/>
        </w:rPr>
      </w:r>
    </w:p>
    <w:p>
      <w:pPr>
        <w:pStyle w:val="Normal"/>
        <w:jc w:val="both"/>
        <w:rPr>
          <w:rFonts w:cs="Arial"/>
          <w:b/>
          <w:b/>
          <w:bCs/>
        </w:rPr>
      </w:pPr>
      <w:r>
        <w:rPr/>
      </w:r>
    </w:p>
    <w:p>
      <w:pPr>
        <w:pStyle w:val="Normal"/>
        <w:spacing w:lineRule="auto" w:line="259" w:before="0" w:after="160"/>
        <w:jc w:val="both"/>
        <w:rPr>
          <w:rFonts w:cs="Arial"/>
        </w:rPr>
      </w:pPr>
      <w:r>
        <w:rPr/>
      </w:r>
    </w:p>
    <w:sectPr>
      <w:headerReference w:type="default" r:id="rId2"/>
      <w:headerReference w:type="first" r:id="rId3"/>
      <w:type w:val="nextPage"/>
      <w:pgSz w:w="11906" w:h="16838"/>
      <w:pgMar w:left="2268" w:right="1133" w:header="454" w:top="1671" w:footer="0" w:bottom="1701"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Arial Unicode MS">
    <w:charset w:val="00"/>
    <w:family w:val="roman"/>
    <w:pitch w:val="variable"/>
  </w:font>
  <w:font w:name="Century Gothic">
    <w:charset w:val="00"/>
    <w:family w:val="roman"/>
    <w:pitch w:val="variable"/>
  </w:font>
  <w:font w:name="OpenSymbol">
    <w:altName w:val="Arial Unicode MS"/>
    <w:charset w:val="01"/>
    <w:family w:val="auto"/>
    <w:pitch w:val="variable"/>
  </w:font>
  <w:font w:name="Symbol">
    <w:charset w:val="02"/>
    <w:family w:val="auto"/>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tabs>
        <w:tab w:val="clear" w:pos="4252"/>
        <w:tab w:val="clear" w:pos="8504"/>
        <w:tab w:val="center" w:pos="8896" w:leader="none"/>
      </w:tabs>
      <w:rPr>
        <w:rFonts w:ascii="Century Gothic" w:hAnsi="Century Gothic"/>
        <w:b/>
        <w:b/>
        <w:sz w:val="16"/>
        <w:szCs w:val="16"/>
      </w:rPr>
    </w:pPr>
    <w:r>
      <w:rPr>
        <w:rFonts w:ascii="Century Gothic" w:hAnsi="Century Gothic"/>
        <w:b/>
        <w:sz w:val="16"/>
        <w:szCs w:val="16"/>
      </w:rPr>
      <w:drawing>
        <wp:anchor behindDoc="1" distT="0" distB="0" distL="0" distR="0" simplePos="0" locked="0" layoutInCell="1" allowOverlap="1" relativeHeight="2">
          <wp:simplePos x="0" y="0"/>
          <wp:positionH relativeFrom="column">
            <wp:posOffset>5482590</wp:posOffset>
          </wp:positionH>
          <wp:positionV relativeFrom="paragraph">
            <wp:posOffset>40005</wp:posOffset>
          </wp:positionV>
          <wp:extent cx="321945" cy="514985"/>
          <wp:effectExtent l="0" t="0" r="0" b="0"/>
          <wp:wrapNone/>
          <wp:docPr id="3" name="Imagen 36" descr="Escudo Negro con r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6" descr="Escudo Negro con raya"/>
                  <pic:cNvPicPr>
                    <a:picLocks noChangeAspect="1" noChangeArrowheads="1"/>
                  </pic:cNvPicPr>
                </pic:nvPicPr>
                <pic:blipFill>
                  <a:blip r:embed="rId1"/>
                  <a:stretch>
                    <a:fillRect/>
                  </a:stretch>
                </pic:blipFill>
                <pic:spPr bwMode="auto">
                  <a:xfrm>
                    <a:off x="0" y="0"/>
                    <a:ext cx="321945" cy="514985"/>
                  </a:xfrm>
                  <a:prstGeom prst="rect">
                    <a:avLst/>
                  </a:prstGeom>
                </pic:spPr>
              </pic:pic>
            </a:graphicData>
          </a:graphic>
        </wp:anchor>
      </w:drawing>
    </w:r>
  </w:p>
  <w:p>
    <w:pPr>
      <w:pStyle w:val="Cabecera"/>
      <w:tabs>
        <w:tab w:val="clear" w:pos="4252"/>
        <w:tab w:val="clear" w:pos="8504"/>
        <w:tab w:val="center" w:pos="8896" w:leader="none"/>
      </w:tabs>
      <w:rPr>
        <w:rFonts w:ascii="Century Gothic" w:hAnsi="Century Gothic"/>
        <w:b/>
        <w:b/>
        <w:sz w:val="16"/>
        <w:szCs w:val="16"/>
      </w:rPr>
    </w:pPr>
    <w:r>
      <w:rPr>
        <w:rFonts w:ascii="Century Gothic" w:hAnsi="Century Gothic"/>
        <w:b/>
        <w:sz w:val="16"/>
        <w:szCs w:val="16"/>
      </w:rPr>
    </w:r>
  </w:p>
  <w:p>
    <w:pPr>
      <w:pStyle w:val="Cabecera"/>
      <w:tabs>
        <w:tab w:val="clear" w:pos="4252"/>
        <w:tab w:val="clear" w:pos="8504"/>
        <w:tab w:val="center" w:pos="8896" w:leader="none"/>
      </w:tabs>
      <w:rPr>
        <w:rFonts w:ascii="Century Gothic" w:hAnsi="Century Gothic"/>
        <w:b/>
        <w:b/>
        <w:sz w:val="16"/>
        <w:szCs w:val="16"/>
      </w:rPr>
    </w:pPr>
    <w:r>
      <w:rPr>
        <w:rFonts w:ascii="Century Gothic" w:hAnsi="Century Gothic"/>
        <w:b/>
        <w:sz w:val="16"/>
        <w:szCs w:val="16"/>
      </w:rPr>
    </w:r>
  </w:p>
  <w:p>
    <w:pPr>
      <w:pStyle w:val="Cabecera"/>
      <w:tabs>
        <w:tab w:val="clear" w:pos="4252"/>
        <w:tab w:val="clear" w:pos="8504"/>
        <w:tab w:val="center" w:pos="8896" w:leader="none"/>
      </w:tabs>
      <w:rPr>
        <w:rFonts w:ascii="Century Gothic" w:hAnsi="Century Gothic"/>
        <w:b/>
        <w:b/>
        <w:sz w:val="16"/>
        <w:szCs w:val="16"/>
      </w:rPr>
    </w:pPr>
    <w:r>
      <w:rPr>
        <w:rFonts w:ascii="Century Gothic" w:hAnsi="Century Gothic"/>
        <w:b/>
        <w:sz w:val="16"/>
        <w:szCs w:val="16"/>
      </w:rPr>
    </w:r>
  </w:p>
  <w:p>
    <w:pPr>
      <w:pStyle w:val="Cabecera"/>
      <w:tabs>
        <w:tab w:val="clear" w:pos="4252"/>
        <w:tab w:val="clear" w:pos="8504"/>
        <w:tab w:val="center" w:pos="8896" w:leader="none"/>
      </w:tabs>
      <w:rPr>
        <w:rFonts w:ascii="Century Gothic" w:hAnsi="Century Gothic"/>
        <w:b/>
        <w:b/>
        <w:sz w:val="12"/>
        <w:szCs w:val="16"/>
      </w:rPr>
    </w:pPr>
    <w:r>
      <w:rPr>
        <w:rFonts w:ascii="Century Gothic" w:hAnsi="Century Gothic"/>
        <w:b/>
        <w:sz w:val="12"/>
        <w:szCs w:val="16"/>
      </w:rPr>
    </w:r>
  </w:p>
  <w:p>
    <w:pPr>
      <w:pStyle w:val="Cabecera"/>
      <w:tabs>
        <w:tab w:val="clear" w:pos="4252"/>
        <w:tab w:val="clear" w:pos="8504"/>
        <w:tab w:val="center" w:pos="8896" w:leader="none"/>
      </w:tabs>
      <w:rPr>
        <w:rFonts w:ascii="Century Gothic" w:hAnsi="Century Gothic"/>
        <w:b/>
        <w:b/>
        <w:sz w:val="16"/>
        <w:szCs w:val="16"/>
      </w:rPr>
    </w:pPr>
    <w:r>
      <w:rPr>
        <w:rFonts w:ascii="Century Gothic" w:hAnsi="Century Gothic"/>
        <w:b/>
        <w:sz w:val="16"/>
        <w:szCs w:val="16"/>
      </w:rPr>
      <w:tab/>
    </w:r>
    <w:r>
      <w:rPr>
        <w:rStyle w:val="Pagenumber"/>
        <w:rFonts w:ascii="Century Gothic" w:hAnsi="Century Gothic"/>
        <w:b/>
        <w:sz w:val="16"/>
        <w:szCs w:val="16"/>
      </w:rPr>
      <w:fldChar w:fldCharType="begin"/>
    </w:r>
    <w:r>
      <w:rPr>
        <w:rStyle w:val="Pagenumber"/>
        <w:sz w:val="16"/>
        <w:b/>
        <w:szCs w:val="16"/>
        <w:rFonts w:ascii="Century Gothic" w:hAnsi="Century Gothic"/>
      </w:rPr>
      <w:instrText> PAGE </w:instrText>
    </w:r>
    <w:r>
      <w:rPr>
        <w:rStyle w:val="Pagenumber"/>
        <w:sz w:val="16"/>
        <w:b/>
        <w:szCs w:val="16"/>
        <w:rFonts w:ascii="Century Gothic" w:hAnsi="Century Gothic"/>
      </w:rPr>
      <w:fldChar w:fldCharType="separate"/>
    </w:r>
    <w:r>
      <w:rPr>
        <w:rStyle w:val="Pagenumber"/>
        <w:sz w:val="16"/>
        <w:b/>
        <w:szCs w:val="16"/>
        <w:rFonts w:ascii="Century Gothic" w:hAnsi="Century Gothic"/>
      </w:rPr>
      <w:t>2</w:t>
    </w:r>
    <w:r>
      <w:rPr>
        <w:rStyle w:val="Pagenumber"/>
        <w:sz w:val="16"/>
        <w:b/>
        <w:szCs w:val="16"/>
        <w:rFonts w:ascii="Century Gothic" w:hAnsi="Century Gothic"/>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ind w:left="-851" w:hanging="0"/>
      <w:jc w:val="center"/>
      <w:rPr/>
    </w:pPr>
    <w:r>
      <w:rPr/>
      <w:drawing>
        <wp:inline distT="0" distB="0" distL="0" distR="0">
          <wp:extent cx="3012440" cy="792480"/>
          <wp:effectExtent l="0" t="0" r="0" b="0"/>
          <wp:docPr id="4" name="Imagen 1" descr="Cabecera A4 Interno Secretaria 1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 descr="Cabecera A4 Interno Secretaria 1T"/>
                  <pic:cNvPicPr>
                    <a:picLocks noChangeAspect="1" noChangeArrowheads="1"/>
                  </pic:cNvPicPr>
                </pic:nvPicPr>
                <pic:blipFill>
                  <a:blip r:embed="rId1"/>
                  <a:stretch>
                    <a:fillRect/>
                  </a:stretch>
                </pic:blipFill>
                <pic:spPr bwMode="auto">
                  <a:xfrm>
                    <a:off x="0" y="0"/>
                    <a:ext cx="3012440" cy="792480"/>
                  </a:xfrm>
                  <a:prstGeom prst="rect">
                    <a:avLst/>
                  </a:prstGeom>
                </pic:spPr>
              </pic:pic>
            </a:graphicData>
          </a:graphic>
        </wp:inline>
      </w:drawing>
    </w:r>
    <w:r>
      <w:rPr/>
      <w:t xml:space="preserve">             </w:t>
    </w:r>
  </w:p>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lowerLetter"/>
      <w:lvlText w:val="%1)"/>
      <w:lvlJc w:val="left"/>
      <w:pPr>
        <w:tabs>
          <w:tab w:val="num" w:pos="0"/>
        </w:tabs>
        <w:ind w:left="0" w:hanging="0"/>
      </w:pPr>
      <w:rPr>
        <w:rFonts w:eastAsia="Times New Roman" w:cs="Arial"/>
      </w:rPr>
    </w:lvl>
    <w:lvl w:ilvl="1">
      <w:start w:val="1"/>
      <w:numFmt w:val="lowerLetter"/>
      <w:lvlText w:val="%2)"/>
      <w:lvlJc w:val="left"/>
      <w:pPr>
        <w:tabs>
          <w:tab w:val="num" w:pos="0"/>
        </w:tabs>
        <w:ind w:left="0" w:hanging="0"/>
      </w:pPr>
    </w:lvl>
    <w:lvl w:ilvl="2">
      <w:start w:val="1"/>
      <w:numFmt w:val="lowerLetter"/>
      <w:lvlText w:val="%3)"/>
      <w:lvlJc w:val="left"/>
      <w:pPr>
        <w:tabs>
          <w:tab w:val="num" w:pos="0"/>
        </w:tabs>
        <w:ind w:left="0" w:hanging="0"/>
      </w:pPr>
    </w:lvl>
    <w:lvl w:ilvl="3">
      <w:start w:val="1"/>
      <w:numFmt w:val="lowerLetter"/>
      <w:lvlText w:val="%4)"/>
      <w:lvlJc w:val="left"/>
      <w:pPr>
        <w:tabs>
          <w:tab w:val="num" w:pos="0"/>
        </w:tabs>
        <w:ind w:left="0" w:hanging="0"/>
      </w:pPr>
    </w:lvl>
    <w:lvl w:ilvl="4">
      <w:start w:val="1"/>
      <w:numFmt w:val="lowerLetter"/>
      <w:lvlText w:val="%5)"/>
      <w:lvlJc w:val="left"/>
      <w:pPr>
        <w:tabs>
          <w:tab w:val="num" w:pos="0"/>
        </w:tabs>
        <w:ind w:left="0" w:hanging="0"/>
      </w:pPr>
    </w:lvl>
    <w:lvl w:ilvl="5">
      <w:start w:val="1"/>
      <w:numFmt w:val="lowerLetter"/>
      <w:lvlText w:val="%6)"/>
      <w:lvlJc w:val="left"/>
      <w:pPr>
        <w:tabs>
          <w:tab w:val="num" w:pos="0"/>
        </w:tabs>
        <w:ind w:left="0" w:hanging="0"/>
      </w:pPr>
    </w:lvl>
    <w:lvl w:ilvl="6">
      <w:start w:val="1"/>
      <w:numFmt w:val="lowerLetter"/>
      <w:lvlText w:val="%7)"/>
      <w:lvlJc w:val="left"/>
      <w:pPr>
        <w:tabs>
          <w:tab w:val="num" w:pos="0"/>
        </w:tabs>
        <w:ind w:left="0" w:hanging="0"/>
      </w:pPr>
    </w:lvl>
    <w:lvl w:ilvl="7">
      <w:start w:val="1"/>
      <w:numFmt w:val="lowerLetter"/>
      <w:lvlText w:val="%8)"/>
      <w:lvlJc w:val="left"/>
      <w:pPr>
        <w:tabs>
          <w:tab w:val="num" w:pos="0"/>
        </w:tabs>
        <w:ind w:left="0" w:hanging="0"/>
      </w:pPr>
    </w:lvl>
    <w:lvl w:ilvl="8">
      <w:start w:val="1"/>
      <w:numFmt w:val="lowerLetter"/>
      <w:lvlText w:val="%9)"/>
      <w:lvlJc w:val="left"/>
      <w:pPr>
        <w:tabs>
          <w:tab w:val="num" w:pos="0"/>
        </w:tabs>
        <w:ind w:left="0" w:hanging="0"/>
      </w:pPr>
    </w:lvl>
  </w:abstractNum>
  <w:abstractNum w:abstractNumId="15">
    <w:lvl w:ilvl="0">
      <w:start w:val="1"/>
      <w:numFmt w:val="lowerLetter"/>
      <w:lvlText w:val="%1)"/>
      <w:lvlJc w:val="left"/>
      <w:pPr>
        <w:tabs>
          <w:tab w:val="num" w:pos="0"/>
        </w:tabs>
        <w:ind w:left="0" w:hanging="0"/>
      </w:pPr>
    </w:lvl>
    <w:lvl w:ilvl="1">
      <w:start w:val="1"/>
      <w:numFmt w:val="decimal"/>
      <w:lvlText w:val="%2."/>
      <w:lvlJc w:val="left"/>
      <w:pPr>
        <w:tabs>
          <w:tab w:val="num" w:pos="0"/>
        </w:tabs>
        <w:ind w:left="0" w:hanging="0"/>
      </w:pPr>
    </w:lvl>
    <w:lvl w:ilvl="2">
      <w:start w:val="1"/>
      <w:numFmt w:val="decimal"/>
      <w:lvlText w:val="%3."/>
      <w:lvlJc w:val="left"/>
      <w:pPr>
        <w:tabs>
          <w:tab w:val="num" w:pos="0"/>
        </w:tabs>
        <w:ind w:left="0" w:hanging="0"/>
      </w:pPr>
    </w:lvl>
    <w:lvl w:ilvl="3">
      <w:start w:val="1"/>
      <w:numFmt w:val="decimal"/>
      <w:lvlText w:val="%4."/>
      <w:lvlJc w:val="left"/>
      <w:pPr>
        <w:tabs>
          <w:tab w:val="num" w:pos="0"/>
        </w:tabs>
        <w:ind w:left="0" w:hanging="0"/>
      </w:pPr>
    </w:lvl>
    <w:lvl w:ilvl="4">
      <w:start w:val="1"/>
      <w:numFmt w:val="decimal"/>
      <w:lvlText w:val="%5."/>
      <w:lvlJc w:val="left"/>
      <w:pPr>
        <w:tabs>
          <w:tab w:val="num" w:pos="0"/>
        </w:tabs>
        <w:ind w:left="0" w:hanging="0"/>
      </w:pPr>
    </w:lvl>
    <w:lvl w:ilvl="5">
      <w:start w:val="1"/>
      <w:numFmt w:val="decimal"/>
      <w:lvlText w:val="%6."/>
      <w:lvlJc w:val="left"/>
      <w:pPr>
        <w:tabs>
          <w:tab w:val="num" w:pos="0"/>
        </w:tabs>
        <w:ind w:left="0" w:hanging="0"/>
      </w:pPr>
    </w:lvl>
    <w:lvl w:ilvl="6">
      <w:start w:val="1"/>
      <w:numFmt w:val="decimal"/>
      <w:lvlText w:val="%7."/>
      <w:lvlJc w:val="left"/>
      <w:pPr>
        <w:tabs>
          <w:tab w:val="num" w:pos="0"/>
        </w:tabs>
        <w:ind w:left="0" w:hanging="0"/>
      </w:pPr>
    </w:lvl>
    <w:lvl w:ilvl="7">
      <w:start w:val="1"/>
      <w:numFmt w:val="decimal"/>
      <w:lvlText w:val="%8."/>
      <w:lvlJc w:val="left"/>
      <w:pPr>
        <w:tabs>
          <w:tab w:val="num" w:pos="0"/>
        </w:tabs>
        <w:ind w:left="0" w:hanging="0"/>
      </w:pPr>
    </w:lvl>
    <w:lvl w:ilvl="8">
      <w:start w:val="1"/>
      <w:numFmt w:val="decimal"/>
      <w:lvlText w:val="%9."/>
      <w:lvlJc w:val="left"/>
      <w:pPr>
        <w:tabs>
          <w:tab w:val="num" w:pos="0"/>
        </w:tabs>
        <w:ind w:left="0" w:hanging="0"/>
      </w:pPr>
    </w:lvl>
  </w:abstractNum>
  <w:abstractNum w:abstractNumId="16">
    <w:lvl w:ilvl="0">
      <w:start w:val="1"/>
      <w:numFmt w:val="lowerLetter"/>
      <w:lvlText w:val="%1)"/>
      <w:lvlJc w:val="left"/>
      <w:pPr>
        <w:tabs>
          <w:tab w:val="num" w:pos="0"/>
        </w:tabs>
        <w:ind w:left="0" w:hanging="0"/>
      </w:pPr>
    </w:lvl>
    <w:lvl w:ilvl="1">
      <w:start w:val="0"/>
      <w:numFmt w:val="bullet"/>
      <w:lvlText w:val="◦"/>
      <w:lvlJc w:val="left"/>
      <w:pPr>
        <w:tabs>
          <w:tab w:val="num" w:pos="0"/>
        </w:tabs>
        <w:ind w:left="0" w:hanging="0"/>
      </w:pPr>
      <w:rPr>
        <w:rFonts w:ascii="OpenSymbol" w:hAnsi="OpenSymbol" w:cs="OpenSymbol" w:hint="default"/>
      </w:rPr>
    </w:lvl>
    <w:lvl w:ilvl="2">
      <w:start w:val="0"/>
      <w:numFmt w:val="bullet"/>
      <w:lvlText w:val="▪"/>
      <w:lvlJc w:val="left"/>
      <w:pPr>
        <w:tabs>
          <w:tab w:val="num" w:pos="0"/>
        </w:tabs>
        <w:ind w:left="0" w:hanging="0"/>
      </w:pPr>
      <w:rPr>
        <w:rFonts w:ascii="OpenSymbol" w:hAnsi="OpenSymbol" w:cs="OpenSymbol" w:hint="default"/>
      </w:rPr>
    </w:lvl>
    <w:lvl w:ilvl="3">
      <w:start w:val="0"/>
      <w:numFmt w:val="bullet"/>
      <w:lvlText w:val=""/>
      <w:lvlJc w:val="left"/>
      <w:pPr>
        <w:tabs>
          <w:tab w:val="num" w:pos="0"/>
        </w:tabs>
        <w:ind w:left="0" w:hanging="0"/>
      </w:pPr>
      <w:rPr>
        <w:rFonts w:ascii="Symbol" w:hAnsi="Symbol" w:cs="Symbol" w:hint="default"/>
      </w:rPr>
    </w:lvl>
    <w:lvl w:ilvl="4">
      <w:start w:val="0"/>
      <w:numFmt w:val="bullet"/>
      <w:lvlText w:val="◦"/>
      <w:lvlJc w:val="left"/>
      <w:pPr>
        <w:tabs>
          <w:tab w:val="num" w:pos="0"/>
        </w:tabs>
        <w:ind w:left="0" w:hanging="0"/>
      </w:pPr>
      <w:rPr>
        <w:rFonts w:ascii="OpenSymbol" w:hAnsi="OpenSymbol" w:cs="OpenSymbol" w:hint="default"/>
      </w:rPr>
    </w:lvl>
    <w:lvl w:ilvl="5">
      <w:start w:val="0"/>
      <w:numFmt w:val="bullet"/>
      <w:lvlText w:val="▪"/>
      <w:lvlJc w:val="left"/>
      <w:pPr>
        <w:tabs>
          <w:tab w:val="num" w:pos="0"/>
        </w:tabs>
        <w:ind w:left="0" w:hanging="0"/>
      </w:pPr>
      <w:rPr>
        <w:rFonts w:ascii="OpenSymbol" w:hAnsi="OpenSymbol" w:cs="OpenSymbol" w:hint="default"/>
      </w:rPr>
    </w:lvl>
    <w:lvl w:ilvl="6">
      <w:start w:val="0"/>
      <w:numFmt w:val="bullet"/>
      <w:lvlText w:val=""/>
      <w:lvlJc w:val="left"/>
      <w:pPr>
        <w:tabs>
          <w:tab w:val="num" w:pos="0"/>
        </w:tabs>
        <w:ind w:left="0" w:hanging="0"/>
      </w:pPr>
      <w:rPr>
        <w:rFonts w:ascii="Symbol" w:hAnsi="Symbol" w:cs="Symbol" w:hint="default"/>
      </w:rPr>
    </w:lvl>
    <w:lvl w:ilvl="7">
      <w:start w:val="0"/>
      <w:numFmt w:val="bullet"/>
      <w:lvlText w:val="◦"/>
      <w:lvlJc w:val="left"/>
      <w:pPr>
        <w:tabs>
          <w:tab w:val="num" w:pos="0"/>
        </w:tabs>
        <w:ind w:left="0" w:hanging="0"/>
      </w:pPr>
      <w:rPr>
        <w:rFonts w:ascii="OpenSymbol" w:hAnsi="OpenSymbol" w:cs="OpenSymbol" w:hint="default"/>
      </w:rPr>
    </w:lvl>
    <w:lvl w:ilvl="8">
      <w:start w:val="0"/>
      <w:numFmt w:val="bullet"/>
      <w:lvlText w:val="▪"/>
      <w:lvlJc w:val="left"/>
      <w:pPr>
        <w:tabs>
          <w:tab w:val="num" w:pos="0"/>
        </w:tabs>
        <w:ind w:left="0" w:hanging="0"/>
      </w:pPr>
      <w:rPr>
        <w:rFonts w:ascii="OpenSymbol" w:hAnsi="OpenSymbol" w:cs="OpenSymbol" w:hint="default"/>
      </w:rPr>
    </w:lvl>
  </w:abstractNum>
  <w:abstractNum w:abstractNumId="17">
    <w:lvl w:ilvl="0">
      <w:start w:val="1"/>
      <w:numFmt w:val="lowerLetter"/>
      <w:lvlText w:val="%1)"/>
      <w:lvlJc w:val="left"/>
      <w:pPr>
        <w:tabs>
          <w:tab w:val="num" w:pos="0"/>
        </w:tabs>
        <w:ind w:left="0" w:hanging="0"/>
      </w:pPr>
    </w:lvl>
    <w:lvl w:ilvl="1">
      <w:start w:val="1"/>
      <w:numFmt w:val="lowerLetter"/>
      <w:lvlText w:val="%2)"/>
      <w:lvlJc w:val="left"/>
      <w:pPr>
        <w:tabs>
          <w:tab w:val="num" w:pos="0"/>
        </w:tabs>
        <w:ind w:left="0" w:hanging="0"/>
      </w:pPr>
    </w:lvl>
    <w:lvl w:ilvl="2">
      <w:start w:val="1"/>
      <w:numFmt w:val="lowerLetter"/>
      <w:lvlText w:val="%3)"/>
      <w:lvlJc w:val="left"/>
      <w:pPr>
        <w:tabs>
          <w:tab w:val="num" w:pos="0"/>
        </w:tabs>
        <w:ind w:left="0" w:hanging="0"/>
      </w:pPr>
    </w:lvl>
    <w:lvl w:ilvl="3">
      <w:start w:val="1"/>
      <w:numFmt w:val="lowerLetter"/>
      <w:lvlText w:val="%4)"/>
      <w:lvlJc w:val="left"/>
      <w:pPr>
        <w:tabs>
          <w:tab w:val="num" w:pos="0"/>
        </w:tabs>
        <w:ind w:left="0" w:hanging="0"/>
      </w:pPr>
    </w:lvl>
    <w:lvl w:ilvl="4">
      <w:start w:val="1"/>
      <w:numFmt w:val="lowerLetter"/>
      <w:lvlText w:val="%5)"/>
      <w:lvlJc w:val="left"/>
      <w:pPr>
        <w:tabs>
          <w:tab w:val="num" w:pos="0"/>
        </w:tabs>
        <w:ind w:left="0" w:hanging="0"/>
      </w:pPr>
    </w:lvl>
    <w:lvl w:ilvl="5">
      <w:start w:val="1"/>
      <w:numFmt w:val="lowerLetter"/>
      <w:lvlText w:val="%6)"/>
      <w:lvlJc w:val="left"/>
      <w:pPr>
        <w:tabs>
          <w:tab w:val="num" w:pos="0"/>
        </w:tabs>
        <w:ind w:left="0" w:hanging="0"/>
      </w:pPr>
    </w:lvl>
    <w:lvl w:ilvl="6">
      <w:start w:val="1"/>
      <w:numFmt w:val="lowerLetter"/>
      <w:lvlText w:val="%7)"/>
      <w:lvlJc w:val="left"/>
      <w:pPr>
        <w:tabs>
          <w:tab w:val="num" w:pos="0"/>
        </w:tabs>
        <w:ind w:left="0" w:hanging="0"/>
      </w:pPr>
    </w:lvl>
    <w:lvl w:ilvl="7">
      <w:start w:val="1"/>
      <w:numFmt w:val="lowerLetter"/>
      <w:lvlText w:val="%8)"/>
      <w:lvlJc w:val="left"/>
      <w:pPr>
        <w:tabs>
          <w:tab w:val="num" w:pos="0"/>
        </w:tabs>
        <w:ind w:left="0" w:hanging="0"/>
      </w:pPr>
    </w:lvl>
    <w:lvl w:ilvl="8">
      <w:start w:val="1"/>
      <w:numFmt w:val="lowerLetter"/>
      <w:lvlText w:val="%9)"/>
      <w:lvlJc w:val="left"/>
      <w:pPr>
        <w:tabs>
          <w:tab w:val="num" w:pos="0"/>
        </w:tabs>
        <w:ind w:left="0" w:hanging="0"/>
      </w:pPr>
    </w:lvl>
  </w:abstractNum>
  <w:abstractNum w:abstractNumId="18">
    <w:lvl w:ilvl="0">
      <w:start w:val="1"/>
      <w:numFmt w:val="lowerLetter"/>
      <w:lvlText w:val="%1)"/>
      <w:lvlJc w:val="left"/>
      <w:pPr>
        <w:tabs>
          <w:tab w:val="num" w:pos="0"/>
        </w:tabs>
        <w:ind w:left="0" w:hanging="0"/>
      </w:pPr>
    </w:lvl>
    <w:lvl w:ilvl="1">
      <w:start w:val="1"/>
      <w:numFmt w:val="lowerLetter"/>
      <w:lvlText w:val="%2)"/>
      <w:lvlJc w:val="left"/>
      <w:pPr>
        <w:tabs>
          <w:tab w:val="num" w:pos="0"/>
        </w:tabs>
        <w:ind w:left="0" w:hanging="0"/>
      </w:pPr>
    </w:lvl>
    <w:lvl w:ilvl="2">
      <w:start w:val="1"/>
      <w:numFmt w:val="lowerLetter"/>
      <w:lvlText w:val="%3)"/>
      <w:lvlJc w:val="left"/>
      <w:pPr>
        <w:tabs>
          <w:tab w:val="num" w:pos="0"/>
        </w:tabs>
        <w:ind w:left="0" w:hanging="0"/>
      </w:pPr>
    </w:lvl>
    <w:lvl w:ilvl="3">
      <w:start w:val="1"/>
      <w:numFmt w:val="lowerLetter"/>
      <w:lvlText w:val="%4)"/>
      <w:lvlJc w:val="left"/>
      <w:pPr>
        <w:tabs>
          <w:tab w:val="num" w:pos="0"/>
        </w:tabs>
        <w:ind w:left="0" w:hanging="0"/>
      </w:pPr>
    </w:lvl>
    <w:lvl w:ilvl="4">
      <w:start w:val="1"/>
      <w:numFmt w:val="lowerLetter"/>
      <w:lvlText w:val="%5)"/>
      <w:lvlJc w:val="left"/>
      <w:pPr>
        <w:tabs>
          <w:tab w:val="num" w:pos="0"/>
        </w:tabs>
        <w:ind w:left="0" w:hanging="0"/>
      </w:pPr>
    </w:lvl>
    <w:lvl w:ilvl="5">
      <w:start w:val="1"/>
      <w:numFmt w:val="lowerLetter"/>
      <w:lvlText w:val="%6)"/>
      <w:lvlJc w:val="left"/>
      <w:pPr>
        <w:tabs>
          <w:tab w:val="num" w:pos="0"/>
        </w:tabs>
        <w:ind w:left="0" w:hanging="0"/>
      </w:pPr>
    </w:lvl>
    <w:lvl w:ilvl="6">
      <w:start w:val="1"/>
      <w:numFmt w:val="lowerLetter"/>
      <w:lvlText w:val="%7)"/>
      <w:lvlJc w:val="left"/>
      <w:pPr>
        <w:tabs>
          <w:tab w:val="num" w:pos="0"/>
        </w:tabs>
        <w:ind w:left="0" w:hanging="0"/>
      </w:pPr>
    </w:lvl>
    <w:lvl w:ilvl="7">
      <w:start w:val="1"/>
      <w:numFmt w:val="lowerLetter"/>
      <w:lvlText w:val="%8)"/>
      <w:lvlJc w:val="left"/>
      <w:pPr>
        <w:tabs>
          <w:tab w:val="num" w:pos="0"/>
        </w:tabs>
        <w:ind w:left="0" w:hanging="0"/>
      </w:pPr>
    </w:lvl>
    <w:lvl w:ilvl="8">
      <w:start w:val="1"/>
      <w:numFmt w:val="lowerLetter"/>
      <w:lvlText w:val="%9)"/>
      <w:lvlJc w:val="left"/>
      <w:pPr>
        <w:tabs>
          <w:tab w:val="num" w:pos="0"/>
        </w:tabs>
        <w:ind w:left="0" w:hanging="0"/>
      </w:pPr>
    </w:lvl>
  </w:abstractNum>
  <w:abstractNum w:abstractNumId="19">
    <w:lvl w:ilvl="0">
      <w:start w:val="1"/>
      <w:numFmt w:val="lowerLetter"/>
      <w:lvlText w:val="%1)"/>
      <w:lvlJc w:val="left"/>
      <w:pPr>
        <w:tabs>
          <w:tab w:val="num" w:pos="0"/>
        </w:tabs>
        <w:ind w:left="0" w:hanging="0"/>
      </w:pPr>
    </w:lvl>
    <w:lvl w:ilvl="1">
      <w:start w:val="1"/>
      <w:numFmt w:val="lowerLetter"/>
      <w:lvlText w:val="%2)"/>
      <w:lvlJc w:val="left"/>
      <w:pPr>
        <w:tabs>
          <w:tab w:val="num" w:pos="0"/>
        </w:tabs>
        <w:ind w:left="0" w:hanging="0"/>
      </w:pPr>
    </w:lvl>
    <w:lvl w:ilvl="2">
      <w:start w:val="1"/>
      <w:numFmt w:val="lowerLetter"/>
      <w:lvlText w:val="%3)"/>
      <w:lvlJc w:val="left"/>
      <w:pPr>
        <w:tabs>
          <w:tab w:val="num" w:pos="0"/>
        </w:tabs>
        <w:ind w:left="0" w:hanging="0"/>
      </w:pPr>
    </w:lvl>
    <w:lvl w:ilvl="3">
      <w:start w:val="1"/>
      <w:numFmt w:val="lowerLetter"/>
      <w:lvlText w:val="%4)"/>
      <w:lvlJc w:val="left"/>
      <w:pPr>
        <w:tabs>
          <w:tab w:val="num" w:pos="0"/>
        </w:tabs>
        <w:ind w:left="0" w:hanging="0"/>
      </w:pPr>
    </w:lvl>
    <w:lvl w:ilvl="4">
      <w:start w:val="1"/>
      <w:numFmt w:val="lowerLetter"/>
      <w:lvlText w:val="%5)"/>
      <w:lvlJc w:val="left"/>
      <w:pPr>
        <w:tabs>
          <w:tab w:val="num" w:pos="0"/>
        </w:tabs>
        <w:ind w:left="0" w:hanging="0"/>
      </w:pPr>
    </w:lvl>
    <w:lvl w:ilvl="5">
      <w:start w:val="1"/>
      <w:numFmt w:val="lowerLetter"/>
      <w:lvlText w:val="%6)"/>
      <w:lvlJc w:val="left"/>
      <w:pPr>
        <w:tabs>
          <w:tab w:val="num" w:pos="0"/>
        </w:tabs>
        <w:ind w:left="0" w:hanging="0"/>
      </w:pPr>
    </w:lvl>
    <w:lvl w:ilvl="6">
      <w:start w:val="1"/>
      <w:numFmt w:val="lowerLetter"/>
      <w:lvlText w:val="%7)"/>
      <w:lvlJc w:val="left"/>
      <w:pPr>
        <w:tabs>
          <w:tab w:val="num" w:pos="0"/>
        </w:tabs>
        <w:ind w:left="0" w:hanging="0"/>
      </w:pPr>
    </w:lvl>
    <w:lvl w:ilvl="7">
      <w:start w:val="1"/>
      <w:numFmt w:val="lowerLetter"/>
      <w:lvlText w:val="%8)"/>
      <w:lvlJc w:val="left"/>
      <w:pPr>
        <w:tabs>
          <w:tab w:val="num" w:pos="0"/>
        </w:tabs>
        <w:ind w:left="0" w:hanging="0"/>
      </w:pPr>
    </w:lvl>
    <w:lvl w:ilvl="8">
      <w:start w:val="1"/>
      <w:numFmt w:val="lowerLetter"/>
      <w:lvlText w:val="%9)"/>
      <w:lvlJc w:val="left"/>
      <w:pPr>
        <w:tabs>
          <w:tab w:val="num" w:pos="0"/>
        </w:tabs>
        <w:ind w:left="0" w:hanging="0"/>
      </w:pPr>
    </w:lvl>
  </w:abstractNum>
  <w:abstractNum w:abstractNumId="20">
    <w:lvl w:ilvl="0">
      <w:start w:val="1"/>
      <w:numFmt w:val="lowerLetter"/>
      <w:lvlText w:val="%1)"/>
      <w:lvlJc w:val="left"/>
      <w:pPr>
        <w:tabs>
          <w:tab w:val="num" w:pos="0"/>
        </w:tabs>
        <w:ind w:left="0" w:hanging="0"/>
      </w:pPr>
    </w:lvl>
    <w:lvl w:ilvl="1">
      <w:start w:val="1"/>
      <w:numFmt w:val="lowerLetter"/>
      <w:lvlText w:val="%2)"/>
      <w:lvlJc w:val="left"/>
      <w:pPr>
        <w:tabs>
          <w:tab w:val="num" w:pos="0"/>
        </w:tabs>
        <w:ind w:left="0" w:hanging="0"/>
      </w:pPr>
    </w:lvl>
    <w:lvl w:ilvl="2">
      <w:start w:val="1"/>
      <w:numFmt w:val="lowerLetter"/>
      <w:lvlText w:val="%3)"/>
      <w:lvlJc w:val="left"/>
      <w:pPr>
        <w:tabs>
          <w:tab w:val="num" w:pos="0"/>
        </w:tabs>
        <w:ind w:left="0" w:hanging="0"/>
      </w:pPr>
    </w:lvl>
    <w:lvl w:ilvl="3">
      <w:start w:val="1"/>
      <w:numFmt w:val="lowerLetter"/>
      <w:lvlText w:val="%4)"/>
      <w:lvlJc w:val="left"/>
      <w:pPr>
        <w:tabs>
          <w:tab w:val="num" w:pos="0"/>
        </w:tabs>
        <w:ind w:left="0" w:hanging="0"/>
      </w:pPr>
    </w:lvl>
    <w:lvl w:ilvl="4">
      <w:start w:val="1"/>
      <w:numFmt w:val="lowerLetter"/>
      <w:lvlText w:val="%5)"/>
      <w:lvlJc w:val="left"/>
      <w:pPr>
        <w:tabs>
          <w:tab w:val="num" w:pos="0"/>
        </w:tabs>
        <w:ind w:left="0" w:hanging="0"/>
      </w:pPr>
    </w:lvl>
    <w:lvl w:ilvl="5">
      <w:start w:val="1"/>
      <w:numFmt w:val="lowerLetter"/>
      <w:lvlText w:val="%6)"/>
      <w:lvlJc w:val="left"/>
      <w:pPr>
        <w:tabs>
          <w:tab w:val="num" w:pos="0"/>
        </w:tabs>
        <w:ind w:left="0" w:hanging="0"/>
      </w:pPr>
    </w:lvl>
    <w:lvl w:ilvl="6">
      <w:start w:val="1"/>
      <w:numFmt w:val="lowerLetter"/>
      <w:lvlText w:val="%7)"/>
      <w:lvlJc w:val="left"/>
      <w:pPr>
        <w:tabs>
          <w:tab w:val="num" w:pos="0"/>
        </w:tabs>
        <w:ind w:left="0" w:hanging="0"/>
      </w:pPr>
    </w:lvl>
    <w:lvl w:ilvl="7">
      <w:start w:val="1"/>
      <w:numFmt w:val="lowerLetter"/>
      <w:lvlText w:val="%8)"/>
      <w:lvlJc w:val="left"/>
      <w:pPr>
        <w:tabs>
          <w:tab w:val="num" w:pos="0"/>
        </w:tabs>
        <w:ind w:left="0" w:hanging="0"/>
      </w:pPr>
    </w:lvl>
    <w:lvl w:ilvl="8">
      <w:start w:val="1"/>
      <w:numFmt w:val="lowerLetter"/>
      <w:lvlText w:val="%9)"/>
      <w:lvlJc w:val="left"/>
      <w:pPr>
        <w:tabs>
          <w:tab w:val="num" w:pos="0"/>
        </w:tabs>
        <w:ind w:left="0" w:hanging="0"/>
      </w:pPr>
    </w:lvl>
  </w:abstractNum>
  <w:abstractNum w:abstractNumId="21">
    <w:lvl w:ilvl="0">
      <w:start w:val="1"/>
      <w:numFmt w:val="lowerLetter"/>
      <w:lvlText w:val="%1)"/>
      <w:lvlJc w:val="left"/>
      <w:pPr>
        <w:tabs>
          <w:tab w:val="num" w:pos="0"/>
        </w:tabs>
        <w:ind w:left="0" w:hanging="0"/>
      </w:pPr>
    </w:lvl>
    <w:lvl w:ilvl="1">
      <w:start w:val="1"/>
      <w:numFmt w:val="lowerLetter"/>
      <w:lvlText w:val="%2)"/>
      <w:lvlJc w:val="left"/>
      <w:pPr>
        <w:tabs>
          <w:tab w:val="num" w:pos="0"/>
        </w:tabs>
        <w:ind w:left="0" w:hanging="0"/>
      </w:pPr>
    </w:lvl>
    <w:lvl w:ilvl="2">
      <w:start w:val="1"/>
      <w:numFmt w:val="lowerLetter"/>
      <w:lvlText w:val="%3)"/>
      <w:lvlJc w:val="left"/>
      <w:pPr>
        <w:tabs>
          <w:tab w:val="num" w:pos="0"/>
        </w:tabs>
        <w:ind w:left="0" w:hanging="0"/>
      </w:pPr>
    </w:lvl>
    <w:lvl w:ilvl="3">
      <w:start w:val="1"/>
      <w:numFmt w:val="lowerLetter"/>
      <w:lvlText w:val="%4)"/>
      <w:lvlJc w:val="left"/>
      <w:pPr>
        <w:tabs>
          <w:tab w:val="num" w:pos="0"/>
        </w:tabs>
        <w:ind w:left="0" w:hanging="0"/>
      </w:pPr>
    </w:lvl>
    <w:lvl w:ilvl="4">
      <w:start w:val="1"/>
      <w:numFmt w:val="lowerLetter"/>
      <w:lvlText w:val="%5)"/>
      <w:lvlJc w:val="left"/>
      <w:pPr>
        <w:tabs>
          <w:tab w:val="num" w:pos="0"/>
        </w:tabs>
        <w:ind w:left="0" w:hanging="0"/>
      </w:pPr>
    </w:lvl>
    <w:lvl w:ilvl="5">
      <w:start w:val="1"/>
      <w:numFmt w:val="lowerLetter"/>
      <w:lvlText w:val="%6)"/>
      <w:lvlJc w:val="left"/>
      <w:pPr>
        <w:tabs>
          <w:tab w:val="num" w:pos="0"/>
        </w:tabs>
        <w:ind w:left="0" w:hanging="0"/>
      </w:pPr>
    </w:lvl>
    <w:lvl w:ilvl="6">
      <w:start w:val="1"/>
      <w:numFmt w:val="lowerLetter"/>
      <w:lvlText w:val="%7)"/>
      <w:lvlJc w:val="left"/>
      <w:pPr>
        <w:tabs>
          <w:tab w:val="num" w:pos="0"/>
        </w:tabs>
        <w:ind w:left="0" w:hanging="0"/>
      </w:pPr>
    </w:lvl>
    <w:lvl w:ilvl="7">
      <w:start w:val="1"/>
      <w:numFmt w:val="lowerLetter"/>
      <w:lvlText w:val="%8)"/>
      <w:lvlJc w:val="left"/>
      <w:pPr>
        <w:tabs>
          <w:tab w:val="num" w:pos="0"/>
        </w:tabs>
        <w:ind w:left="0" w:hanging="0"/>
      </w:pPr>
    </w:lvl>
    <w:lvl w:ilvl="8">
      <w:start w:val="1"/>
      <w:numFmt w:val="lowerLetter"/>
      <w:lvlText w:val="%9)"/>
      <w:lvlJc w:val="left"/>
      <w:pPr>
        <w:tabs>
          <w:tab w:val="num" w:pos="0"/>
        </w:tabs>
        <w:ind w:left="0" w:hanging="0"/>
      </w:pPr>
    </w:lvl>
  </w:abstractNum>
  <w:abstractNum w:abstractNumId="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lvl w:ilvl="0">
      <w:start w:val="6"/>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val="bestFit" w:percent="227"/>
  <w:defaultTabStop w:val="709"/>
  <w:autoHyphenation w:val="true"/>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bb14b2"/>
    <w:pPr>
      <w:widowControl/>
      <w:bidi w:val="0"/>
      <w:spacing w:before="0" w:after="0"/>
      <w:jc w:val="left"/>
    </w:pPr>
    <w:rPr>
      <w:rFonts w:ascii="Arial" w:hAnsi="Arial" w:eastAsia="Times New Roman" w:cs="Times New Roman"/>
      <w:color w:val="auto"/>
      <w:kern w:val="0"/>
      <w:sz w:val="22"/>
      <w:szCs w:val="20"/>
      <w:lang w:val="es-ES" w:eastAsia="es-ES" w:bidi="ar-SA"/>
    </w:rPr>
  </w:style>
  <w:style w:type="paragraph" w:styleId="Ttulo1">
    <w:name w:val="Heading 1"/>
    <w:basedOn w:val="Normal"/>
    <w:next w:val="Normal"/>
    <w:qFormat/>
    <w:rsid w:val="00bb14b2"/>
    <w:pPr>
      <w:keepNext w:val="true"/>
      <w:outlineLvl w:val="0"/>
    </w:pPr>
    <w:rPr>
      <w:rFonts w:ascii="Times New Roman" w:hAnsi="Times New Roman"/>
      <w:b/>
      <w:sz w:val="18"/>
      <w:lang w:val="es-ES_tradnl"/>
    </w:rPr>
  </w:style>
  <w:style w:type="paragraph" w:styleId="Ttulo2">
    <w:name w:val="Heading 2"/>
    <w:basedOn w:val="Normal"/>
    <w:next w:val="Normal"/>
    <w:qFormat/>
    <w:rsid w:val="00bb14b2"/>
    <w:pPr>
      <w:keepNext w:val="true"/>
      <w:jc w:val="center"/>
      <w:outlineLvl w:val="1"/>
    </w:pPr>
    <w:rPr>
      <w:rFonts w:ascii="Times New Roman" w:hAnsi="Times New Roman"/>
      <w:b/>
      <w:sz w:val="18"/>
      <w:lang w:val="es-ES_tradnl"/>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2f4a13"/>
    <w:rPr/>
  </w:style>
  <w:style w:type="character" w:styleId="EnlacedeInternet">
    <w:name w:val="Enlace de Internet"/>
    <w:basedOn w:val="DefaultParagraphFont"/>
    <w:uiPriority w:val="99"/>
    <w:unhideWhenUsed/>
    <w:rsid w:val="00952bb7"/>
    <w:rPr>
      <w:color w:val="0000FF"/>
      <w:u w:val="single"/>
    </w:rPr>
  </w:style>
  <w:style w:type="character" w:styleId="TextodegloboCar" w:customStyle="1">
    <w:name w:val="Texto de globo Car"/>
    <w:basedOn w:val="DefaultParagraphFont"/>
    <w:link w:val="Textodeglobo"/>
    <w:qFormat/>
    <w:rsid w:val="009b0019"/>
    <w:rPr>
      <w:rFonts w:ascii="Tahoma" w:hAnsi="Tahoma" w:cs="Tahoma"/>
      <w:sz w:val="16"/>
      <w:szCs w:val="16"/>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rsid w:val="00bb14b2"/>
    <w:pPr>
      <w:tabs>
        <w:tab w:val="clear" w:pos="709"/>
        <w:tab w:val="center" w:pos="4252" w:leader="none"/>
        <w:tab w:val="right" w:pos="8504" w:leader="none"/>
      </w:tabs>
    </w:pPr>
    <w:rPr/>
  </w:style>
  <w:style w:type="paragraph" w:styleId="Piedepgina">
    <w:name w:val="Footer"/>
    <w:basedOn w:val="Normal"/>
    <w:rsid w:val="00bb14b2"/>
    <w:pPr>
      <w:tabs>
        <w:tab w:val="clear" w:pos="709"/>
        <w:tab w:val="center" w:pos="4252" w:leader="none"/>
        <w:tab w:val="right" w:pos="8504" w:leader="none"/>
      </w:tabs>
    </w:pPr>
    <w:rPr/>
  </w:style>
  <w:style w:type="paragraph" w:styleId="ListParagraph">
    <w:name w:val="List Paragraph"/>
    <w:basedOn w:val="Normal"/>
    <w:qFormat/>
    <w:rsid w:val="00952bb7"/>
    <w:pPr>
      <w:spacing w:lineRule="auto" w:line="276" w:before="0" w:after="200"/>
      <w:ind w:left="720" w:hanging="0"/>
      <w:contextualSpacing/>
    </w:pPr>
    <w:rPr>
      <w:rFonts w:ascii="Calibri" w:hAnsi="Calibri" w:eastAsia="Calibri" w:cs="" w:asciiTheme="minorHAnsi" w:cstheme="minorBidi" w:eastAsiaTheme="minorHAnsi" w:hAnsiTheme="minorHAnsi"/>
      <w:szCs w:val="22"/>
      <w:lang w:eastAsia="en-US"/>
    </w:rPr>
  </w:style>
  <w:style w:type="paragraph" w:styleId="Default" w:customStyle="1">
    <w:name w:val="Default"/>
    <w:qFormat/>
    <w:rsid w:val="00952bb7"/>
    <w:pPr>
      <w:widowControl/>
      <w:bidi w:val="0"/>
      <w:spacing w:before="0" w:after="0"/>
      <w:jc w:val="left"/>
    </w:pPr>
    <w:rPr>
      <w:rFonts w:ascii="Arial Unicode MS" w:hAnsi="Arial Unicode MS" w:eastAsia="Calibri" w:cs="Arial Unicode MS" w:eastAsiaTheme="minorHAnsi"/>
      <w:color w:val="000000"/>
      <w:kern w:val="0"/>
      <w:sz w:val="24"/>
      <w:szCs w:val="24"/>
      <w:lang w:eastAsia="en-US" w:val="es-ES" w:bidi="ar-SA"/>
    </w:rPr>
  </w:style>
  <w:style w:type="paragraph" w:styleId="Parrafo" w:customStyle="1">
    <w:name w:val="parrafo"/>
    <w:basedOn w:val="Normal"/>
    <w:qFormat/>
    <w:rsid w:val="00952bb7"/>
    <w:pPr>
      <w:spacing w:beforeAutospacing="1" w:afterAutospacing="1"/>
    </w:pPr>
    <w:rPr>
      <w:rFonts w:ascii="Times New Roman" w:hAnsi="Times New Roman"/>
      <w:sz w:val="24"/>
      <w:szCs w:val="24"/>
    </w:rPr>
  </w:style>
  <w:style w:type="paragraph" w:styleId="Standard" w:customStyle="1">
    <w:name w:val="Standard"/>
    <w:qFormat/>
    <w:rsid w:val="00952bb7"/>
    <w:pPr>
      <w:widowControl/>
      <w:suppressAutoHyphens w:val="true"/>
      <w:bidi w:val="0"/>
      <w:spacing w:before="0" w:after="0"/>
      <w:jc w:val="left"/>
      <w:textAlignment w:val="baseline"/>
    </w:pPr>
    <w:rPr>
      <w:rFonts w:ascii="Arial" w:hAnsi="Arial" w:cs="Arial" w:eastAsia="Times New Roman"/>
      <w:color w:val="auto"/>
      <w:kern w:val="2"/>
      <w:sz w:val="22"/>
      <w:szCs w:val="20"/>
      <w:lang w:eastAsia="zh-CN" w:val="es-ES" w:bidi="ar-SA"/>
    </w:rPr>
  </w:style>
  <w:style w:type="paragraph" w:styleId="BalloonText">
    <w:name w:val="Balloon Text"/>
    <w:basedOn w:val="Normal"/>
    <w:link w:val="TextodegloboCar"/>
    <w:qFormat/>
    <w:rsid w:val="009b0019"/>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6388B-4598-45BF-B806-EDFF7C66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Interno Secretaría.dot</Template>
  <TotalTime>138</TotalTime>
  <Application>LibreOffice/6.4.7.2$Windows_X86_64 LibreOffice_project/639b8ac485750d5696d7590a72ef1b496725cfb5</Application>
  <Pages>14</Pages>
  <Words>5158</Words>
  <Characters>27066</Characters>
  <CharactersWithSpaces>31970</CharactersWithSpaces>
  <Paragraphs>239</Paragraphs>
  <Company>Ayuntamiento de Albal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2021-12-14T07:26:00Z</dcterms:created>
  <dc:creator>Inma</dc:creator>
  <dc:description/>
  <dc:language>es-ES</dc:language>
  <cp:lastModifiedBy/>
  <cp:lastPrinted>2021-12-20T13:18:00Z</cp:lastPrinted>
  <dcterms:modified xsi:type="dcterms:W3CDTF">2022-01-11T13:05:00Z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Ayuntamiento de Albal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